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F16B8" w14:textId="77777777" w:rsidR="002C2D95" w:rsidRPr="002C2D95" w:rsidRDefault="002C2D95" w:rsidP="002C2D95">
      <w:pPr>
        <w:rPr>
          <w:b/>
          <w:bCs/>
          <w:color w:val="3A7C22" w:themeColor="accent6" w:themeShade="BF"/>
          <w:sz w:val="40"/>
          <w:szCs w:val="40"/>
        </w:rPr>
      </w:pPr>
      <w:r w:rsidRPr="002C2D95">
        <w:rPr>
          <w:b/>
          <w:bCs/>
          <w:color w:val="3A7C22" w:themeColor="accent6" w:themeShade="BF"/>
          <w:sz w:val="40"/>
          <w:szCs w:val="40"/>
        </w:rPr>
        <w:t>Guide 1: Supporting Early Career Teachers with Autism Spectrum Difference (ASD)</w:t>
      </w:r>
    </w:p>
    <w:p w14:paraId="6C276FDA" w14:textId="77777777" w:rsidR="002C2D95" w:rsidRPr="002C2D95" w:rsidRDefault="002C2D95" w:rsidP="002C2D95">
      <w:pPr>
        <w:rPr>
          <w:b/>
          <w:bCs/>
          <w:color w:val="3A7C22" w:themeColor="accent6" w:themeShade="BF"/>
          <w:sz w:val="32"/>
          <w:szCs w:val="32"/>
        </w:rPr>
      </w:pPr>
      <w:r w:rsidRPr="002C2D95">
        <w:rPr>
          <w:b/>
          <w:bCs/>
          <w:color w:val="3A7C22" w:themeColor="accent6" w:themeShade="BF"/>
          <w:sz w:val="32"/>
          <w:szCs w:val="32"/>
        </w:rPr>
        <w:t>Aim of the guide</w:t>
      </w:r>
    </w:p>
    <w:p w14:paraId="3FFAE453" w14:textId="0FB34828" w:rsidR="002C2D95" w:rsidRPr="002C2D95" w:rsidRDefault="002C2D95" w:rsidP="002C2D95">
      <w:r w:rsidRPr="002C2D95">
        <w:t xml:space="preserve">This practitioner guide is designed to support </w:t>
      </w:r>
      <w:r w:rsidRPr="00816338">
        <w:rPr>
          <w:color w:val="000000" w:themeColor="text1"/>
        </w:rPr>
        <w:t>induction tutors</w:t>
      </w:r>
      <w:r w:rsidR="00E50E6F" w:rsidRPr="00816338">
        <w:rPr>
          <w:color w:val="000000" w:themeColor="text1"/>
        </w:rPr>
        <w:t xml:space="preserve"> and </w:t>
      </w:r>
      <w:r w:rsidRPr="00816338">
        <w:rPr>
          <w:color w:val="000000" w:themeColor="text1"/>
        </w:rPr>
        <w:t>mentors</w:t>
      </w:r>
      <w:r w:rsidRPr="00816338">
        <w:rPr>
          <w:b/>
          <w:bCs/>
          <w:color w:val="000000" w:themeColor="text1"/>
        </w:rPr>
        <w:t xml:space="preserve"> </w:t>
      </w:r>
      <w:r w:rsidRPr="002C2D95">
        <w:t>in enabling Early Career Teachers (ECTs) with Autism Spectrum Difference (ASD) to thrive during induction. It aims to</w:t>
      </w:r>
      <w:r w:rsidR="00E50E6F">
        <w:t>…</w:t>
      </w:r>
    </w:p>
    <w:p w14:paraId="17160DCF" w14:textId="4A7741CA" w:rsidR="002C2D95" w:rsidRPr="002C2D95" w:rsidRDefault="002C2D95" w:rsidP="002C2D95">
      <w:pPr>
        <w:numPr>
          <w:ilvl w:val="0"/>
          <w:numId w:val="14"/>
        </w:numPr>
      </w:pPr>
      <w:r w:rsidRPr="002C2D95">
        <w:t>Support inclusive, high</w:t>
      </w:r>
      <w:r w:rsidRPr="002C2D95">
        <w:noBreakHyphen/>
        <w:t xml:space="preserve">expectation practice aligned with the Early Career </w:t>
      </w:r>
      <w:r w:rsidR="006B4224">
        <w:t>Teacher Entitlements (ECTE)</w:t>
      </w:r>
    </w:p>
    <w:p w14:paraId="441C86E1" w14:textId="77777777" w:rsidR="002C2D95" w:rsidRPr="002C2D95" w:rsidRDefault="002C2D95" w:rsidP="002C2D95">
      <w:pPr>
        <w:numPr>
          <w:ilvl w:val="0"/>
          <w:numId w:val="14"/>
        </w:numPr>
      </w:pPr>
      <w:r w:rsidRPr="002C2D95">
        <w:t>Help tutors recognise and reduce contextual barriers that may disproportionately affect autistic ECTs</w:t>
      </w:r>
    </w:p>
    <w:p w14:paraId="156F46EC" w14:textId="77777777" w:rsidR="002C2D95" w:rsidRPr="002C2D95" w:rsidRDefault="002C2D95" w:rsidP="002C2D95">
      <w:pPr>
        <w:numPr>
          <w:ilvl w:val="0"/>
          <w:numId w:val="14"/>
        </w:numPr>
      </w:pPr>
      <w:r w:rsidRPr="002C2D95">
        <w:t>Promote strengths</w:t>
      </w:r>
      <w:r w:rsidRPr="002C2D95">
        <w:noBreakHyphen/>
        <w:t>based, neurodiversity</w:t>
      </w:r>
      <w:r w:rsidRPr="002C2D95">
        <w:noBreakHyphen/>
        <w:t>affirming mentoring approaches</w:t>
      </w:r>
    </w:p>
    <w:p w14:paraId="690095C3" w14:textId="77777777" w:rsidR="002C2D95" w:rsidRPr="002C2D95" w:rsidRDefault="002C2D95" w:rsidP="002C2D95">
      <w:pPr>
        <w:numPr>
          <w:ilvl w:val="0"/>
          <w:numId w:val="14"/>
        </w:numPr>
      </w:pPr>
      <w:r w:rsidRPr="002C2D95">
        <w:t>Improve wellbeing, professional development and retention</w:t>
      </w:r>
    </w:p>
    <w:p w14:paraId="567E455C" w14:textId="77777777" w:rsidR="002C2D95" w:rsidRPr="002C2D95" w:rsidRDefault="002C2D95" w:rsidP="002C2D95">
      <w:r w:rsidRPr="002C2D95">
        <w:t xml:space="preserve">This guide does </w:t>
      </w:r>
      <w:r w:rsidRPr="002C2D95">
        <w:rPr>
          <w:b/>
          <w:bCs/>
        </w:rPr>
        <w:t>not</w:t>
      </w:r>
      <w:r w:rsidRPr="002C2D95">
        <w:t xml:space="preserve"> provide diagnostic guidance or clinical advice. It is intended to support professional practice within statutory induction arrangements.</w:t>
      </w:r>
    </w:p>
    <w:p w14:paraId="4537CD5D" w14:textId="6C579C8A" w:rsidR="002C2D95" w:rsidRPr="002C2D95" w:rsidRDefault="002C2D95" w:rsidP="002C2D95"/>
    <w:p w14:paraId="08CE34B1" w14:textId="77777777" w:rsidR="002C2D95" w:rsidRPr="002C2D95" w:rsidRDefault="002C2D95" w:rsidP="002C2D95">
      <w:pPr>
        <w:rPr>
          <w:b/>
          <w:bCs/>
          <w:color w:val="3A7C22" w:themeColor="accent6" w:themeShade="BF"/>
          <w:sz w:val="32"/>
          <w:szCs w:val="32"/>
        </w:rPr>
      </w:pPr>
      <w:r w:rsidRPr="002C2D95">
        <w:rPr>
          <w:b/>
          <w:bCs/>
          <w:color w:val="3A7C22" w:themeColor="accent6" w:themeShade="BF"/>
          <w:sz w:val="32"/>
          <w:szCs w:val="32"/>
        </w:rPr>
        <w:t>Context and limitations</w:t>
      </w:r>
    </w:p>
    <w:p w14:paraId="69C81DD9" w14:textId="77777777" w:rsidR="002C2D95" w:rsidRPr="002C2D95" w:rsidRDefault="002C2D95" w:rsidP="002C2D95">
      <w:pPr>
        <w:rPr>
          <w:b/>
          <w:bCs/>
          <w:color w:val="3A7C22" w:themeColor="accent6" w:themeShade="BF"/>
        </w:rPr>
      </w:pPr>
      <w:r w:rsidRPr="002C2D95">
        <w:rPr>
          <w:b/>
          <w:bCs/>
          <w:color w:val="3A7C22" w:themeColor="accent6" w:themeShade="BF"/>
        </w:rPr>
        <w:t>Evidence-informed approach</w:t>
      </w:r>
    </w:p>
    <w:p w14:paraId="3D2E0CD6" w14:textId="289CB826" w:rsidR="002C2D95" w:rsidRPr="002C2D95" w:rsidRDefault="002C2D95" w:rsidP="002C2D95">
      <w:r w:rsidRPr="002C2D95">
        <w:t xml:space="preserve">This guide is informed by the Education Endowment Foundation (EEF) </w:t>
      </w:r>
      <w:hyperlink r:id="rId5" w:history="1">
        <w:r w:rsidRPr="00584DE7">
          <w:rPr>
            <w:rStyle w:val="Hyperlink"/>
            <w:i/>
            <w:iCs/>
          </w:rPr>
          <w:t>Special Educational Needs in Mainstream Schools</w:t>
        </w:r>
      </w:hyperlink>
      <w:r w:rsidRPr="002C2D95">
        <w:t xml:space="preserve"> guidance report. While that report is designed primarily to support pupils with SEND, many of its underlying principles</w:t>
      </w:r>
      <w:r w:rsidR="00584DE7">
        <w:t xml:space="preserve"> </w:t>
      </w:r>
      <w:r w:rsidRPr="002C2D95">
        <w:t>such as high-quality universal provision, explicit instruction, structured review cycles, and a focus on removing contextual barriers</w:t>
      </w:r>
      <w:r w:rsidR="00F21295">
        <w:t xml:space="preserve">, </w:t>
      </w:r>
      <w:r w:rsidRPr="002C2D95">
        <w:t>translate effectively to supporting adults in professional learning contexts.</w:t>
      </w:r>
    </w:p>
    <w:p w14:paraId="2AAF4303" w14:textId="1077BE07" w:rsidR="002C2D95" w:rsidRPr="002C2D95" w:rsidRDefault="002C2D95" w:rsidP="002C2D95">
      <w:r w:rsidRPr="002C2D95">
        <w:t>In line with the EEF’s approach, this guide prioritises</w:t>
      </w:r>
      <w:r w:rsidR="00E50E6F">
        <w:t>…</w:t>
      </w:r>
    </w:p>
    <w:p w14:paraId="20AA98B1" w14:textId="77777777" w:rsidR="002C2D95" w:rsidRPr="002C2D95" w:rsidRDefault="002C2D95" w:rsidP="002C2D95">
      <w:pPr>
        <w:numPr>
          <w:ilvl w:val="0"/>
          <w:numId w:val="15"/>
        </w:numPr>
      </w:pPr>
      <w:r w:rsidRPr="002C2D95">
        <w:t>High-quality induction and mentoring as the foundation for success</w:t>
      </w:r>
    </w:p>
    <w:p w14:paraId="4BB08688" w14:textId="77777777" w:rsidR="002C2D95" w:rsidRPr="002C2D95" w:rsidRDefault="002C2D95" w:rsidP="002C2D95">
      <w:pPr>
        <w:numPr>
          <w:ilvl w:val="0"/>
          <w:numId w:val="15"/>
        </w:numPr>
      </w:pPr>
      <w:r w:rsidRPr="002C2D95">
        <w:t>Understanding individual needs within their professional and organisational context</w:t>
      </w:r>
    </w:p>
    <w:p w14:paraId="4E25ED24" w14:textId="77777777" w:rsidR="002C2D95" w:rsidRPr="002C2D95" w:rsidRDefault="002C2D95" w:rsidP="002C2D95">
      <w:pPr>
        <w:numPr>
          <w:ilvl w:val="0"/>
          <w:numId w:val="15"/>
        </w:numPr>
      </w:pPr>
      <w:r w:rsidRPr="002C2D95">
        <w:t>Structured, proportionate adjustments that are reviewed over time</w:t>
      </w:r>
    </w:p>
    <w:p w14:paraId="200760D6" w14:textId="77777777" w:rsidR="002C2D95" w:rsidRPr="002C2D95" w:rsidRDefault="002C2D95" w:rsidP="002C2D95">
      <w:r w:rsidRPr="002C2D95">
        <w:t>The application of pupil-focused evidence to ECT induction should be understood as principle-led rather than diagnostic, supporting professional growth without conflating ECTs with pupils.</w:t>
      </w:r>
    </w:p>
    <w:p w14:paraId="561AB4A7" w14:textId="77777777" w:rsidR="002C2D95" w:rsidRPr="002C2D95" w:rsidRDefault="002C2D95" w:rsidP="002C2D95">
      <w:pPr>
        <w:rPr>
          <w:b/>
          <w:bCs/>
          <w:color w:val="3A7C22" w:themeColor="accent6" w:themeShade="BF"/>
          <w:sz w:val="32"/>
          <w:szCs w:val="32"/>
        </w:rPr>
      </w:pPr>
      <w:r w:rsidRPr="002C2D95">
        <w:rPr>
          <w:b/>
          <w:bCs/>
          <w:color w:val="3A7C22" w:themeColor="accent6" w:themeShade="BF"/>
          <w:sz w:val="32"/>
          <w:szCs w:val="32"/>
        </w:rPr>
        <w:lastRenderedPageBreak/>
        <w:t>Neurodiversity and ASD</w:t>
      </w:r>
    </w:p>
    <w:p w14:paraId="59914C60" w14:textId="77777777" w:rsidR="002C2D95" w:rsidRPr="002C2D95" w:rsidRDefault="002C2D95" w:rsidP="002C2D95">
      <w:r w:rsidRPr="002C2D95">
        <w:t xml:space="preserve">ASD is a form of neurodivergence characterised by differences in communication, social interaction, sensory processing, executive functioning and information processing. It exists on a spectrum and presents differently for </w:t>
      </w:r>
      <w:proofErr w:type="gramStart"/>
      <w:r w:rsidRPr="002C2D95">
        <w:t>each individual</w:t>
      </w:r>
      <w:proofErr w:type="gramEnd"/>
      <w:r w:rsidRPr="002C2D95">
        <w:t>.</w:t>
      </w:r>
    </w:p>
    <w:p w14:paraId="362BD352" w14:textId="77777777" w:rsidR="002C2D95" w:rsidRPr="002C2D95" w:rsidRDefault="002C2D95" w:rsidP="002C2D95">
      <w:r w:rsidRPr="002C2D95">
        <w:t>This guide adopts a neurodiversity-affirming approach, recognising that many challenges experienced by autistic ECTs arise from environmental and organisational factors rather than individual deficit.</w:t>
      </w:r>
    </w:p>
    <w:p w14:paraId="4A56BF77" w14:textId="77777777" w:rsidR="002C2D95" w:rsidRPr="002C2D95" w:rsidRDefault="002C2D95" w:rsidP="002C2D95">
      <w:pPr>
        <w:rPr>
          <w:b/>
          <w:bCs/>
          <w:color w:val="3A7C22" w:themeColor="accent6" w:themeShade="BF"/>
        </w:rPr>
      </w:pPr>
      <w:r w:rsidRPr="002C2D95">
        <w:rPr>
          <w:b/>
          <w:bCs/>
          <w:color w:val="3A7C22" w:themeColor="accent6" w:themeShade="BF"/>
        </w:rPr>
        <w:t>Legal and professional context</w:t>
      </w:r>
    </w:p>
    <w:p w14:paraId="7CFC076D" w14:textId="77777777" w:rsidR="002C2D95" w:rsidRPr="002C2D95" w:rsidRDefault="002C2D95" w:rsidP="002C2D95">
      <w:r w:rsidRPr="002C2D95">
        <w:t xml:space="preserve">Under the Equality Act 2010, schools have a duty to make </w:t>
      </w:r>
      <w:r w:rsidRPr="002C2D95">
        <w:rPr>
          <w:i/>
          <w:iCs/>
        </w:rPr>
        <w:t>reasonable adjustments</w:t>
      </w:r>
      <w:r w:rsidRPr="002C2D95">
        <w:t xml:space="preserve"> for disabled staff. For autistic ECTs, this often relates to communication clarity, predictability, workload structuring and feedback processes.</w:t>
      </w:r>
    </w:p>
    <w:p w14:paraId="6BB5E093" w14:textId="40834225" w:rsidR="002C2D95" w:rsidRPr="002C2D95" w:rsidRDefault="002C2D95" w:rsidP="002C2D95">
      <w:r w:rsidRPr="002C2D95">
        <w:t xml:space="preserve">Adjustments are intended to provide equitable access, not advantage, and should sit comfortably alongside the </w:t>
      </w:r>
      <w:r w:rsidR="001F6BA8">
        <w:t>ECTE</w:t>
      </w:r>
      <w:r w:rsidRPr="002C2D95">
        <w:t xml:space="preserve"> commitment to high standards and professional growth.</w:t>
      </w:r>
    </w:p>
    <w:p w14:paraId="3B754A88" w14:textId="77777777" w:rsidR="002C2D95" w:rsidRPr="002C2D95" w:rsidRDefault="002C2D95" w:rsidP="002C2D95">
      <w:pPr>
        <w:rPr>
          <w:b/>
          <w:bCs/>
          <w:color w:val="3A7C22" w:themeColor="accent6" w:themeShade="BF"/>
        </w:rPr>
      </w:pPr>
      <w:r w:rsidRPr="002C2D95">
        <w:rPr>
          <w:b/>
          <w:bCs/>
          <w:color w:val="3A7C22" w:themeColor="accent6" w:themeShade="BF"/>
        </w:rPr>
        <w:t>Limitations of this guide</w:t>
      </w:r>
    </w:p>
    <w:p w14:paraId="1DB9293C" w14:textId="5D9BFD5D" w:rsidR="002C2D95" w:rsidRPr="002C2D95" w:rsidRDefault="002C2D95" w:rsidP="002C2D95">
      <w:pPr>
        <w:numPr>
          <w:ilvl w:val="0"/>
          <w:numId w:val="16"/>
        </w:numPr>
      </w:pPr>
      <w:r w:rsidRPr="002C2D95">
        <w:t xml:space="preserve">ASD is not a homogenous </w:t>
      </w:r>
      <w:proofErr w:type="gramStart"/>
      <w:r w:rsidRPr="002C2D95">
        <w:t>condition</w:t>
      </w:r>
      <w:r w:rsidR="00230F6B">
        <w:t>,</w:t>
      </w:r>
      <w:proofErr w:type="gramEnd"/>
      <w:r w:rsidR="00230F6B">
        <w:t xml:space="preserve"> </w:t>
      </w:r>
      <w:r w:rsidRPr="002C2D95">
        <w:t>no single strategy will suit all ECTs</w:t>
      </w:r>
    </w:p>
    <w:p w14:paraId="636FB6DD" w14:textId="77777777" w:rsidR="002C2D95" w:rsidRPr="002C2D95" w:rsidRDefault="002C2D95" w:rsidP="002C2D95">
      <w:pPr>
        <w:numPr>
          <w:ilvl w:val="0"/>
          <w:numId w:val="16"/>
        </w:numPr>
      </w:pPr>
      <w:r w:rsidRPr="002C2D95">
        <w:t>Not all autistic ECTs will disclose their diagnosis</w:t>
      </w:r>
    </w:p>
    <w:p w14:paraId="4FC734D8" w14:textId="77777777" w:rsidR="002C2D95" w:rsidRPr="002C2D95" w:rsidRDefault="002C2D95" w:rsidP="002C2D95">
      <w:pPr>
        <w:numPr>
          <w:ilvl w:val="0"/>
          <w:numId w:val="16"/>
        </w:numPr>
      </w:pPr>
      <w:r w:rsidRPr="002C2D95">
        <w:t>Many autistic ECTs will also experience co-occurring conditions (e.g. anxiety, ADHD)</w:t>
      </w:r>
    </w:p>
    <w:p w14:paraId="28432646" w14:textId="77777777" w:rsidR="002C2D95" w:rsidRPr="002C2D95" w:rsidRDefault="002C2D95" w:rsidP="002C2D95">
      <w:pPr>
        <w:numPr>
          <w:ilvl w:val="0"/>
          <w:numId w:val="16"/>
        </w:numPr>
      </w:pPr>
      <w:r w:rsidRPr="002C2D95">
        <w:t>This guide supports induction practice but does not replace HR, occupational health or medical advice</w:t>
      </w:r>
    </w:p>
    <w:p w14:paraId="3320232C" w14:textId="37F23EBD" w:rsidR="002C2D95" w:rsidRPr="002C2D95" w:rsidRDefault="002C2D95" w:rsidP="002C2D95"/>
    <w:p w14:paraId="72F21D5B" w14:textId="5AF3B6B7" w:rsidR="002C2D95" w:rsidRPr="002C2D95" w:rsidRDefault="002C2D95" w:rsidP="002C2D95">
      <w:pPr>
        <w:rPr>
          <w:b/>
          <w:bCs/>
          <w:color w:val="3A7C22" w:themeColor="accent6" w:themeShade="BF"/>
          <w:sz w:val="32"/>
          <w:szCs w:val="32"/>
        </w:rPr>
      </w:pPr>
      <w:r w:rsidRPr="002C2D95">
        <w:rPr>
          <w:b/>
          <w:bCs/>
          <w:color w:val="3A7C22" w:themeColor="accent6" w:themeShade="BF"/>
          <w:sz w:val="32"/>
          <w:szCs w:val="32"/>
        </w:rPr>
        <w:t xml:space="preserve">ITT </w:t>
      </w:r>
      <w:r w:rsidR="00004CD4" w:rsidRPr="00004CD4">
        <w:rPr>
          <w:b/>
          <w:bCs/>
          <w:color w:val="3A7C22" w:themeColor="accent6" w:themeShade="BF"/>
          <w:sz w:val="32"/>
          <w:szCs w:val="32"/>
        </w:rPr>
        <w:t xml:space="preserve">to </w:t>
      </w:r>
      <w:r w:rsidRPr="002C2D95">
        <w:rPr>
          <w:b/>
          <w:bCs/>
          <w:color w:val="3A7C22" w:themeColor="accent6" w:themeShade="BF"/>
          <w:sz w:val="32"/>
          <w:szCs w:val="32"/>
        </w:rPr>
        <w:t>ECT transition</w:t>
      </w:r>
      <w:r w:rsidR="00004CD4" w:rsidRPr="00004CD4">
        <w:rPr>
          <w:b/>
          <w:bCs/>
          <w:color w:val="3A7C22" w:themeColor="accent6" w:themeShade="BF"/>
          <w:sz w:val="32"/>
          <w:szCs w:val="32"/>
        </w:rPr>
        <w:t xml:space="preserve"> - W</w:t>
      </w:r>
      <w:r w:rsidRPr="002C2D95">
        <w:rPr>
          <w:b/>
          <w:bCs/>
          <w:color w:val="3A7C22" w:themeColor="accent6" w:themeShade="BF"/>
          <w:sz w:val="32"/>
          <w:szCs w:val="32"/>
        </w:rPr>
        <w:t xml:space="preserve">hy </w:t>
      </w:r>
      <w:proofErr w:type="gramStart"/>
      <w:r w:rsidRPr="002C2D95">
        <w:rPr>
          <w:b/>
          <w:bCs/>
          <w:color w:val="3A7C22" w:themeColor="accent6" w:themeShade="BF"/>
          <w:sz w:val="32"/>
          <w:szCs w:val="32"/>
        </w:rPr>
        <w:t>this matters</w:t>
      </w:r>
      <w:proofErr w:type="gramEnd"/>
      <w:r w:rsidRPr="002C2D95">
        <w:rPr>
          <w:b/>
          <w:bCs/>
          <w:color w:val="3A7C22" w:themeColor="accent6" w:themeShade="BF"/>
          <w:sz w:val="32"/>
          <w:szCs w:val="32"/>
        </w:rPr>
        <w:t xml:space="preserve"> for autistic ECTs</w:t>
      </w:r>
    </w:p>
    <w:p w14:paraId="4D5D2C1C" w14:textId="752C79B4" w:rsidR="002C2D95" w:rsidRPr="002C2D95" w:rsidRDefault="002C2D95" w:rsidP="002C2D95">
      <w:r w:rsidRPr="002C2D95">
        <w:t>The transition from Initial Teacher Training (ITT) to ECT induction often represents a significant increase in cognitive, emotional and social demand. For autistic ECTs, this transition may be particularly challenging due to</w:t>
      </w:r>
      <w:r w:rsidR="00004CD4">
        <w:t>…</w:t>
      </w:r>
    </w:p>
    <w:p w14:paraId="0A721859" w14:textId="3BCCF489" w:rsidR="002C2D95" w:rsidRPr="002C2D95" w:rsidRDefault="002C2D95" w:rsidP="002C2D95">
      <w:pPr>
        <w:numPr>
          <w:ilvl w:val="0"/>
          <w:numId w:val="17"/>
        </w:numPr>
      </w:pPr>
      <w:r w:rsidRPr="002C2D95">
        <w:rPr>
          <w:b/>
          <w:bCs/>
          <w:color w:val="3A7C22" w:themeColor="accent6" w:themeShade="BF"/>
        </w:rPr>
        <w:t>Reduced scaffolding</w:t>
      </w:r>
      <w:r w:rsidR="00004CD4" w:rsidRPr="00004CD4">
        <w:rPr>
          <w:color w:val="3A7C22" w:themeColor="accent6" w:themeShade="BF"/>
        </w:rPr>
        <w:t xml:space="preserve"> </w:t>
      </w:r>
      <w:r w:rsidR="00004CD4">
        <w:t xml:space="preserve">- </w:t>
      </w:r>
      <w:r w:rsidRPr="002C2D95">
        <w:t>ITT programmes often provide highly structured feedback and clear success criteria, which may be less explicit during induction</w:t>
      </w:r>
      <w:r w:rsidR="00B02B9C">
        <w:t>.</w:t>
      </w:r>
    </w:p>
    <w:p w14:paraId="561CD091" w14:textId="40CDF640" w:rsidR="002C2D95" w:rsidRPr="002C2D95" w:rsidRDefault="002C2D95" w:rsidP="002C2D95">
      <w:pPr>
        <w:numPr>
          <w:ilvl w:val="0"/>
          <w:numId w:val="17"/>
        </w:numPr>
      </w:pPr>
      <w:r w:rsidRPr="002C2D95">
        <w:rPr>
          <w:b/>
          <w:bCs/>
          <w:color w:val="3A7C22" w:themeColor="accent6" w:themeShade="BF"/>
        </w:rPr>
        <w:t>Increased ambiguity</w:t>
      </w:r>
      <w:r w:rsidR="00004CD4" w:rsidRPr="00004CD4">
        <w:rPr>
          <w:color w:val="3A7C22" w:themeColor="accent6" w:themeShade="BF"/>
        </w:rPr>
        <w:t xml:space="preserve"> </w:t>
      </w:r>
      <w:r w:rsidR="00004CD4">
        <w:t>-</w:t>
      </w:r>
      <w:r w:rsidRPr="002C2D95">
        <w:t xml:space="preserve"> Expectations around ‘professional judgement’, pace and prioritisation are often implicit</w:t>
      </w:r>
      <w:r w:rsidR="00B02B9C">
        <w:t>.</w:t>
      </w:r>
    </w:p>
    <w:p w14:paraId="2A7A3A65" w14:textId="386CBDDB" w:rsidR="002C2D95" w:rsidRPr="002C2D95" w:rsidRDefault="002C2D95" w:rsidP="002C2D95">
      <w:pPr>
        <w:numPr>
          <w:ilvl w:val="0"/>
          <w:numId w:val="17"/>
        </w:numPr>
      </w:pPr>
      <w:r w:rsidRPr="002C2D95">
        <w:rPr>
          <w:b/>
          <w:bCs/>
          <w:color w:val="3A7C22" w:themeColor="accent6" w:themeShade="BF"/>
        </w:rPr>
        <w:t>Hidden curriculum</w:t>
      </w:r>
      <w:r w:rsidR="00004CD4" w:rsidRPr="00004CD4">
        <w:rPr>
          <w:b/>
          <w:bCs/>
          <w:color w:val="3A7C22" w:themeColor="accent6" w:themeShade="BF"/>
        </w:rPr>
        <w:t xml:space="preserve"> </w:t>
      </w:r>
      <w:r w:rsidR="00004CD4">
        <w:t xml:space="preserve">- </w:t>
      </w:r>
      <w:r w:rsidRPr="002C2D95">
        <w:t>Unwritten norms around staffroom culture, parental communication and professional relationships</w:t>
      </w:r>
      <w:r w:rsidR="00B02B9C">
        <w:t>.</w:t>
      </w:r>
    </w:p>
    <w:p w14:paraId="2E1F07DD" w14:textId="3EBC54C6" w:rsidR="002C2D95" w:rsidRPr="002C2D95" w:rsidRDefault="002C2D95" w:rsidP="002C2D95">
      <w:pPr>
        <w:numPr>
          <w:ilvl w:val="0"/>
          <w:numId w:val="17"/>
        </w:numPr>
      </w:pPr>
      <w:r w:rsidRPr="002C2D95">
        <w:rPr>
          <w:b/>
          <w:bCs/>
          <w:color w:val="3A7C22" w:themeColor="accent6" w:themeShade="BF"/>
        </w:rPr>
        <w:lastRenderedPageBreak/>
        <w:t>Change and unpredictability</w:t>
      </w:r>
      <w:r w:rsidR="00004CD4" w:rsidRPr="00004CD4">
        <w:rPr>
          <w:color w:val="3A7C22" w:themeColor="accent6" w:themeShade="BF"/>
        </w:rPr>
        <w:t xml:space="preserve"> </w:t>
      </w:r>
      <w:r w:rsidR="00004CD4">
        <w:t xml:space="preserve">- </w:t>
      </w:r>
      <w:r w:rsidRPr="002C2D95">
        <w:t>Timetable changes, cover, new initiatives and shifting priorities</w:t>
      </w:r>
      <w:r w:rsidR="00B02B9C">
        <w:t>.</w:t>
      </w:r>
    </w:p>
    <w:p w14:paraId="777D7496" w14:textId="5A0CFE14" w:rsidR="002C2D95" w:rsidRPr="002C2D95" w:rsidRDefault="002C2D95" w:rsidP="002C2D95">
      <w:pPr>
        <w:numPr>
          <w:ilvl w:val="0"/>
          <w:numId w:val="17"/>
        </w:numPr>
      </w:pPr>
      <w:r w:rsidRPr="002C2D95">
        <w:rPr>
          <w:b/>
          <w:bCs/>
          <w:color w:val="3A7C22" w:themeColor="accent6" w:themeShade="BF"/>
        </w:rPr>
        <w:t>Cumulative cognitive load</w:t>
      </w:r>
      <w:r w:rsidR="00004CD4" w:rsidRPr="00004CD4">
        <w:rPr>
          <w:color w:val="3A7C22" w:themeColor="accent6" w:themeShade="BF"/>
        </w:rPr>
        <w:t xml:space="preserve"> </w:t>
      </w:r>
      <w:r w:rsidR="00004CD4">
        <w:t xml:space="preserve">- </w:t>
      </w:r>
      <w:r w:rsidRPr="002C2D95">
        <w:t>Managing planning, behaviour, assessment, communication and wellbeing simultaneously</w:t>
      </w:r>
      <w:r w:rsidR="00B02B9C">
        <w:t>.</w:t>
      </w:r>
    </w:p>
    <w:p w14:paraId="22EE8D63" w14:textId="7155E821" w:rsidR="002C2D95" w:rsidRPr="002C2D95" w:rsidRDefault="002C2D95" w:rsidP="002C2D95">
      <w:r w:rsidRPr="002C2D95">
        <w:t xml:space="preserve">The </w:t>
      </w:r>
      <w:r w:rsidR="00547213">
        <w:t>ECTP</w:t>
      </w:r>
      <w:r w:rsidRPr="002C2D95">
        <w:t xml:space="preserve"> places strong emphasis on </w:t>
      </w:r>
      <w:r w:rsidRPr="002C2D95">
        <w:rPr>
          <w:i/>
          <w:iCs/>
        </w:rPr>
        <w:t>adaptive practice, behaviour management, workload sustainability and professional habits</w:t>
      </w:r>
      <w:r w:rsidRPr="002C2D95">
        <w:t xml:space="preserve">. Induction tutors </w:t>
      </w:r>
      <w:r w:rsidR="00547213">
        <w:t xml:space="preserve">and mentors </w:t>
      </w:r>
      <w:r w:rsidRPr="002C2D95">
        <w:t>play a critical role in ensuring these expectations are explicitly taught and modelled, rather than assumed.</w:t>
      </w:r>
    </w:p>
    <w:p w14:paraId="34B2E236" w14:textId="10556AE3" w:rsidR="002C2D95" w:rsidRPr="002C2D95" w:rsidRDefault="002C2D95" w:rsidP="002C2D95"/>
    <w:p w14:paraId="4D9D03E3" w14:textId="77777777" w:rsidR="002C2D95" w:rsidRPr="002C2D95" w:rsidRDefault="002C2D95" w:rsidP="002C2D95">
      <w:pPr>
        <w:rPr>
          <w:b/>
          <w:bCs/>
          <w:color w:val="3A7C22" w:themeColor="accent6" w:themeShade="BF"/>
          <w:sz w:val="32"/>
          <w:szCs w:val="32"/>
        </w:rPr>
      </w:pPr>
      <w:r w:rsidRPr="002C2D95">
        <w:rPr>
          <w:b/>
          <w:bCs/>
          <w:color w:val="3A7C22" w:themeColor="accent6" w:themeShade="BF"/>
          <w:sz w:val="32"/>
          <w:szCs w:val="32"/>
        </w:rPr>
        <w:t>Guiding principles</w:t>
      </w:r>
    </w:p>
    <w:p w14:paraId="1BAB063D" w14:textId="65E4FA1F" w:rsidR="002C2D95" w:rsidRPr="002C2D95" w:rsidRDefault="002C2D95" w:rsidP="002C2D95">
      <w:r w:rsidRPr="002C2D95">
        <w:t xml:space="preserve">The following principles support effective induction for autistic ECTs and align closely with both the </w:t>
      </w:r>
      <w:r w:rsidR="000E4172">
        <w:t xml:space="preserve">ECTP training programme, Teachers’ Standards </w:t>
      </w:r>
      <w:r w:rsidRPr="002C2D95">
        <w:t>and the EEF guidance on SEND</w:t>
      </w:r>
      <w:r w:rsidR="000E4172">
        <w:t>.</w:t>
      </w:r>
    </w:p>
    <w:p w14:paraId="0B1B25C9" w14:textId="77777777" w:rsidR="002C2D95" w:rsidRPr="002C2D95" w:rsidRDefault="002C2D95" w:rsidP="002C2D95">
      <w:pPr>
        <w:numPr>
          <w:ilvl w:val="0"/>
          <w:numId w:val="18"/>
        </w:numPr>
      </w:pPr>
      <w:r w:rsidRPr="002C2D95">
        <w:rPr>
          <w:b/>
          <w:bCs/>
          <w:color w:val="3A7C22" w:themeColor="accent6" w:themeShade="BF"/>
        </w:rPr>
        <w:t>High-quality universal provision first</w:t>
      </w:r>
      <w:r w:rsidRPr="002C2D95">
        <w:br/>
        <w:t xml:space="preserve">Many adjustments that support autistic ECTs represent high-quality induction practice that benefits </w:t>
      </w:r>
      <w:r w:rsidRPr="002C2D95">
        <w:rPr>
          <w:i/>
          <w:iCs/>
        </w:rPr>
        <w:t>all</w:t>
      </w:r>
      <w:r w:rsidRPr="002C2D95">
        <w:t xml:space="preserve"> early career teachers. Inclusive practice should be embedded by design, not added as an afterthought. Effective support focuses not only on reasonable adjustments, but on creating the conditions in which autistic ECTs can do their best professional work without unnecessary cognitive or emotional load.</w:t>
      </w:r>
    </w:p>
    <w:p w14:paraId="2B853868" w14:textId="77777777" w:rsidR="002C2D95" w:rsidRPr="002C2D95" w:rsidRDefault="002C2D95" w:rsidP="002C2D95">
      <w:pPr>
        <w:numPr>
          <w:ilvl w:val="0"/>
          <w:numId w:val="18"/>
        </w:numPr>
      </w:pPr>
      <w:r w:rsidRPr="002C2D95">
        <w:rPr>
          <w:b/>
          <w:bCs/>
          <w:color w:val="3A7C22" w:themeColor="accent6" w:themeShade="BF"/>
        </w:rPr>
        <w:t>Explicit is better than implicit</w:t>
      </w:r>
      <w:r w:rsidRPr="002C2D95">
        <w:br/>
        <w:t>Do not rely on inference or assumption. Make expectations, processes and success criteria clear.</w:t>
      </w:r>
    </w:p>
    <w:p w14:paraId="30D1C3F3" w14:textId="77777777" w:rsidR="002C2D95" w:rsidRPr="002C2D95" w:rsidRDefault="002C2D95" w:rsidP="002C2D95">
      <w:pPr>
        <w:numPr>
          <w:ilvl w:val="0"/>
          <w:numId w:val="18"/>
        </w:numPr>
      </w:pPr>
      <w:r w:rsidRPr="002C2D95">
        <w:rPr>
          <w:b/>
          <w:bCs/>
          <w:color w:val="3A7C22" w:themeColor="accent6" w:themeShade="BF"/>
        </w:rPr>
        <w:t>Predictability supports performance</w:t>
      </w:r>
      <w:r w:rsidRPr="002C2D95">
        <w:br/>
        <w:t>Advance notice, routine and structure reduce anxiety and free cognitive capacity for teaching.</w:t>
      </w:r>
    </w:p>
    <w:p w14:paraId="7A5716C4" w14:textId="77777777" w:rsidR="002C2D95" w:rsidRPr="002C2D95" w:rsidRDefault="002C2D95" w:rsidP="002C2D95">
      <w:pPr>
        <w:numPr>
          <w:ilvl w:val="0"/>
          <w:numId w:val="18"/>
        </w:numPr>
      </w:pPr>
      <w:r w:rsidRPr="002C2D95">
        <w:rPr>
          <w:b/>
          <w:bCs/>
          <w:color w:val="3A7C22" w:themeColor="accent6" w:themeShade="BF"/>
        </w:rPr>
        <w:t>High expectations, flexible pathways</w:t>
      </w:r>
      <w:r w:rsidRPr="002C2D95">
        <w:br/>
        <w:t>Maintain ambition while allowing different routes to competence. Adjustments should enable independence and professional growth, not avoid challenge.</w:t>
      </w:r>
    </w:p>
    <w:p w14:paraId="7A116711" w14:textId="77777777" w:rsidR="002C2D95" w:rsidRPr="002C2D95" w:rsidRDefault="002C2D95" w:rsidP="002C2D95">
      <w:pPr>
        <w:numPr>
          <w:ilvl w:val="0"/>
          <w:numId w:val="18"/>
        </w:numPr>
      </w:pPr>
      <w:r w:rsidRPr="002C2D95">
        <w:rPr>
          <w:b/>
          <w:bCs/>
          <w:color w:val="3A7C22" w:themeColor="accent6" w:themeShade="BF"/>
        </w:rPr>
        <w:t>Strengths-first mentoring</w:t>
      </w:r>
      <w:r w:rsidRPr="002C2D95">
        <w:br/>
        <w:t>Identify and build on strengths such as subject knowledge, planning, attention to detail or reflective thinking.</w:t>
      </w:r>
    </w:p>
    <w:p w14:paraId="08ABFFC6" w14:textId="77777777" w:rsidR="002C2D95" w:rsidRPr="002C2D95" w:rsidRDefault="002C2D95" w:rsidP="002C2D95">
      <w:pPr>
        <w:numPr>
          <w:ilvl w:val="0"/>
          <w:numId w:val="18"/>
        </w:numPr>
      </w:pPr>
      <w:r w:rsidRPr="002C2D95">
        <w:rPr>
          <w:b/>
          <w:bCs/>
          <w:color w:val="3A7C22" w:themeColor="accent6" w:themeShade="BF"/>
        </w:rPr>
        <w:t>Co-regulation before self-regulation</w:t>
      </w:r>
      <w:r w:rsidRPr="002C2D95">
        <w:rPr>
          <w:color w:val="3A7C22" w:themeColor="accent6" w:themeShade="BF"/>
        </w:rPr>
        <w:br/>
      </w:r>
      <w:r w:rsidRPr="002C2D95">
        <w:t xml:space="preserve">Drawing on EEF principles of metacognition and self-regulated learning, mentors </w:t>
      </w:r>
      <w:r w:rsidRPr="002C2D95">
        <w:lastRenderedPageBreak/>
        <w:t>should initially model prioritisation, reflection and decision-making, gradually transferring responsibility as routines become embedded.</w:t>
      </w:r>
    </w:p>
    <w:p w14:paraId="49800780" w14:textId="77777777" w:rsidR="002C2D95" w:rsidRPr="002C2D95" w:rsidRDefault="002C2D95" w:rsidP="002C2D95">
      <w:pPr>
        <w:numPr>
          <w:ilvl w:val="0"/>
          <w:numId w:val="18"/>
        </w:numPr>
      </w:pPr>
      <w:r w:rsidRPr="002C2D95">
        <w:rPr>
          <w:b/>
          <w:bCs/>
          <w:color w:val="3A7C22" w:themeColor="accent6" w:themeShade="BF"/>
        </w:rPr>
        <w:t>Assess–plan–do–review</w:t>
      </w:r>
      <w:r w:rsidRPr="002C2D95">
        <w:br/>
        <w:t>Support should be structured, proportionate and reviewed regularly, using an assess–plan–do–review cycle to evaluate impact and adapt provision over time.</w:t>
      </w:r>
    </w:p>
    <w:p w14:paraId="4FAC98A9" w14:textId="3B2B90F8" w:rsidR="002C2D95" w:rsidRPr="002C2D95" w:rsidRDefault="002C2D95" w:rsidP="002C2D95"/>
    <w:p w14:paraId="66DCAED2" w14:textId="49A7569D" w:rsidR="00745703" w:rsidRPr="002C2D95" w:rsidRDefault="002C2D95" w:rsidP="002C2D95">
      <w:pPr>
        <w:rPr>
          <w:b/>
          <w:bCs/>
          <w:color w:val="3A7C22" w:themeColor="accent6" w:themeShade="BF"/>
          <w:sz w:val="32"/>
          <w:szCs w:val="32"/>
        </w:rPr>
      </w:pPr>
      <w:r w:rsidRPr="002C2D95">
        <w:rPr>
          <w:b/>
          <w:bCs/>
          <w:color w:val="3A7C22" w:themeColor="accent6" w:themeShade="BF"/>
          <w:sz w:val="32"/>
          <w:szCs w:val="32"/>
        </w:rPr>
        <w:t>Practical strategies and adjustments</w:t>
      </w:r>
    </w:p>
    <w:p w14:paraId="038BD56C" w14:textId="77777777" w:rsidR="002C2D95" w:rsidRPr="002C2D95" w:rsidRDefault="002C2D95" w:rsidP="002C2D95">
      <w:pPr>
        <w:rPr>
          <w:b/>
          <w:bCs/>
          <w:color w:val="3A7C22" w:themeColor="accent6" w:themeShade="BF"/>
        </w:rPr>
      </w:pPr>
      <w:r w:rsidRPr="002C2D95">
        <w:rPr>
          <w:b/>
          <w:bCs/>
          <w:color w:val="3A7C22" w:themeColor="accent6" w:themeShade="BF"/>
        </w:rPr>
        <w:t>Mentoring and communication</w:t>
      </w:r>
    </w:p>
    <w:p w14:paraId="268752B3" w14:textId="77777777" w:rsidR="002C2D95" w:rsidRPr="002C2D95" w:rsidRDefault="002C2D95" w:rsidP="002C2D95">
      <w:pPr>
        <w:numPr>
          <w:ilvl w:val="0"/>
          <w:numId w:val="19"/>
        </w:numPr>
      </w:pPr>
      <w:r w:rsidRPr="002C2D95">
        <w:t>Provide clear agendas for mentoring meetings in advance</w:t>
      </w:r>
    </w:p>
    <w:p w14:paraId="307C54ED" w14:textId="5DDCBC39" w:rsidR="002C2D95" w:rsidRPr="002C2D95" w:rsidRDefault="002C2D95" w:rsidP="002C2D95">
      <w:pPr>
        <w:numPr>
          <w:ilvl w:val="0"/>
          <w:numId w:val="19"/>
        </w:numPr>
      </w:pPr>
      <w:r w:rsidRPr="002C2D95">
        <w:t>Follow up meetings with written summaries and agreed actions</w:t>
      </w:r>
      <w:r w:rsidR="006E5DCD">
        <w:t xml:space="preserve">. AI meeting tools can reduce workload </w:t>
      </w:r>
      <w:r w:rsidR="00745703">
        <w:t xml:space="preserve">demands </w:t>
      </w:r>
      <w:r w:rsidR="00D710C5">
        <w:t xml:space="preserve">for </w:t>
      </w:r>
      <w:r w:rsidR="00745703">
        <w:t>mentors with this</w:t>
      </w:r>
      <w:r w:rsidR="00D710C5">
        <w:t xml:space="preserve"> strategy</w:t>
      </w:r>
      <w:r w:rsidR="00745703">
        <w:t>.</w:t>
      </w:r>
    </w:p>
    <w:p w14:paraId="2CD2CEE8" w14:textId="07FAA8D9" w:rsidR="002C2D95" w:rsidRPr="002C2D95" w:rsidRDefault="002C2D95" w:rsidP="002C2D95">
      <w:pPr>
        <w:numPr>
          <w:ilvl w:val="0"/>
          <w:numId w:val="19"/>
        </w:numPr>
      </w:pPr>
      <w:r w:rsidRPr="002C2D95">
        <w:t>Use</w:t>
      </w:r>
      <w:r w:rsidR="00E12BD9">
        <w:t xml:space="preserve"> ITTECF</w:t>
      </w:r>
      <w:r w:rsidRPr="002C2D95">
        <w:t xml:space="preserve"> statements explicitly when discussing strengths and next steps</w:t>
      </w:r>
      <w:r w:rsidR="00D710C5">
        <w:t xml:space="preserve"> </w:t>
      </w:r>
      <w:r w:rsidR="00E12BD9">
        <w:t>during mentoring interactions as part of the</w:t>
      </w:r>
      <w:r w:rsidR="00D710C5">
        <w:t xml:space="preserve"> ECTP.</w:t>
      </w:r>
    </w:p>
    <w:p w14:paraId="2E5866B6" w14:textId="77777777" w:rsidR="002C2D95" w:rsidRPr="002C2D95" w:rsidRDefault="002C2D95" w:rsidP="002C2D95">
      <w:pPr>
        <w:numPr>
          <w:ilvl w:val="0"/>
          <w:numId w:val="19"/>
        </w:numPr>
      </w:pPr>
      <w:r w:rsidRPr="002C2D95">
        <w:t>Avoid vague language (e.g. ‘be more confident’, ‘pick up the pace’) without clarification</w:t>
      </w:r>
    </w:p>
    <w:p w14:paraId="10691216" w14:textId="77777777" w:rsidR="002C2D95" w:rsidRPr="002C2D95" w:rsidRDefault="002C2D95" w:rsidP="002C2D95">
      <w:pPr>
        <w:rPr>
          <w:b/>
          <w:bCs/>
          <w:color w:val="3A7C22" w:themeColor="accent6" w:themeShade="BF"/>
        </w:rPr>
      </w:pPr>
      <w:r w:rsidRPr="002C2D95">
        <w:rPr>
          <w:b/>
          <w:bCs/>
          <w:color w:val="3A7C22" w:themeColor="accent6" w:themeShade="BF"/>
        </w:rPr>
        <w:t>Feedback and observations</w:t>
      </w:r>
    </w:p>
    <w:p w14:paraId="29E791C9" w14:textId="544D199E" w:rsidR="002C2D95" w:rsidRPr="002C2D95" w:rsidRDefault="002C2D95" w:rsidP="002C2D95">
      <w:pPr>
        <w:numPr>
          <w:ilvl w:val="0"/>
          <w:numId w:val="20"/>
        </w:numPr>
      </w:pPr>
      <w:r w:rsidRPr="002C2D95">
        <w:t xml:space="preserve">Share </w:t>
      </w:r>
      <w:r w:rsidR="007A27DD">
        <w:t xml:space="preserve">drop in </w:t>
      </w:r>
      <w:r w:rsidRPr="002C2D95">
        <w:t>observation focus areas in advance</w:t>
      </w:r>
    </w:p>
    <w:p w14:paraId="33D0A3E9" w14:textId="74D19AFA" w:rsidR="002C2D95" w:rsidRPr="002C2D95" w:rsidRDefault="007A27DD" w:rsidP="002C2D95">
      <w:pPr>
        <w:numPr>
          <w:ilvl w:val="0"/>
          <w:numId w:val="20"/>
        </w:numPr>
      </w:pPr>
      <w:r>
        <w:t xml:space="preserve">Provide </w:t>
      </w:r>
      <w:r w:rsidR="002C2D95" w:rsidRPr="002C2D95">
        <w:t>concrete examples</w:t>
      </w:r>
      <w:r>
        <w:t xml:space="preserve"> during deliberate practice</w:t>
      </w:r>
      <w:r w:rsidR="002C2D95" w:rsidRPr="002C2D95">
        <w:t xml:space="preserve"> linked to ITTECF evidence statements</w:t>
      </w:r>
    </w:p>
    <w:p w14:paraId="662CFDF4" w14:textId="717CA076" w:rsidR="002C2D95" w:rsidRPr="002C2D95" w:rsidRDefault="002C2D95" w:rsidP="002C2D95">
      <w:pPr>
        <w:numPr>
          <w:ilvl w:val="0"/>
          <w:numId w:val="20"/>
        </w:numPr>
      </w:pPr>
      <w:r w:rsidRPr="002C2D95">
        <w:t xml:space="preserve">Separate feedback into </w:t>
      </w:r>
      <w:r w:rsidR="00AF2D0A">
        <w:rPr>
          <w:i/>
          <w:iCs/>
        </w:rPr>
        <w:t>what went well</w:t>
      </w:r>
      <w:r w:rsidRPr="002C2D95">
        <w:t xml:space="preserve"> and </w:t>
      </w:r>
      <w:r w:rsidR="00AF2D0A">
        <w:rPr>
          <w:i/>
          <w:iCs/>
        </w:rPr>
        <w:t>even better if…</w:t>
      </w:r>
    </w:p>
    <w:p w14:paraId="67177173" w14:textId="19E6EEB5" w:rsidR="002C2D95" w:rsidRPr="002C2D95" w:rsidRDefault="002C2D95" w:rsidP="002C2D95">
      <w:pPr>
        <w:numPr>
          <w:ilvl w:val="0"/>
          <w:numId w:val="20"/>
        </w:numPr>
      </w:pPr>
      <w:r w:rsidRPr="002C2D95">
        <w:t>Avoid overloading with multiple targets</w:t>
      </w:r>
      <w:r w:rsidR="007A27DD">
        <w:t xml:space="preserve">, </w:t>
      </w:r>
      <w:r w:rsidRPr="002C2D95">
        <w:t>prioritise</w:t>
      </w:r>
      <w:r w:rsidR="007A27DD">
        <w:t xml:space="preserve"> high leverage next steps.</w:t>
      </w:r>
    </w:p>
    <w:p w14:paraId="096833A1" w14:textId="557FDC9E" w:rsidR="002C2D95" w:rsidRPr="002C2D95" w:rsidRDefault="002C2D95" w:rsidP="002C2D95">
      <w:r w:rsidRPr="002C2D95">
        <w:t xml:space="preserve">Induction tutors </w:t>
      </w:r>
      <w:r w:rsidR="004B5186">
        <w:t xml:space="preserve">and mentors </w:t>
      </w:r>
      <w:r w:rsidRPr="002C2D95">
        <w:t>should be mindful that some ECTs may expend significant energy navigating social expectations or ambiguity. Apparent confidence or compliance does not always indicate sustainability. Clear, psychologically safe mentoring relationships support learning, retention and professional growth.</w:t>
      </w:r>
    </w:p>
    <w:p w14:paraId="7D915BB6" w14:textId="77777777" w:rsidR="002C2D95" w:rsidRPr="002C2D95" w:rsidRDefault="002C2D95" w:rsidP="002C2D95">
      <w:pPr>
        <w:rPr>
          <w:b/>
          <w:bCs/>
          <w:color w:val="3A7C22" w:themeColor="accent6" w:themeShade="BF"/>
        </w:rPr>
      </w:pPr>
      <w:r w:rsidRPr="002C2D95">
        <w:rPr>
          <w:b/>
          <w:bCs/>
          <w:color w:val="3A7C22" w:themeColor="accent6" w:themeShade="BF"/>
        </w:rPr>
        <w:t>Organisation and workload</w:t>
      </w:r>
    </w:p>
    <w:p w14:paraId="4C78461C" w14:textId="77777777" w:rsidR="002C2D95" w:rsidRPr="002C2D95" w:rsidRDefault="002C2D95" w:rsidP="002C2D95">
      <w:pPr>
        <w:numPr>
          <w:ilvl w:val="0"/>
          <w:numId w:val="21"/>
        </w:numPr>
      </w:pPr>
      <w:r w:rsidRPr="002C2D95">
        <w:t>Support ECTs to create routines for planning, marking and preparation</w:t>
      </w:r>
    </w:p>
    <w:p w14:paraId="3D2676B7" w14:textId="77777777" w:rsidR="002C2D95" w:rsidRPr="002C2D95" w:rsidRDefault="002C2D95" w:rsidP="002C2D95">
      <w:pPr>
        <w:numPr>
          <w:ilvl w:val="0"/>
          <w:numId w:val="21"/>
        </w:numPr>
      </w:pPr>
      <w:r w:rsidRPr="002C2D95">
        <w:t>Make deadlines explicit and visible</w:t>
      </w:r>
    </w:p>
    <w:p w14:paraId="07A51C75" w14:textId="77777777" w:rsidR="002C2D95" w:rsidRPr="002C2D95" w:rsidRDefault="002C2D95" w:rsidP="002C2D95">
      <w:pPr>
        <w:numPr>
          <w:ilvl w:val="0"/>
          <w:numId w:val="21"/>
        </w:numPr>
      </w:pPr>
      <w:r w:rsidRPr="002C2D95">
        <w:t>Model how to prioritise when demands compete</w:t>
      </w:r>
    </w:p>
    <w:p w14:paraId="64415D0A" w14:textId="012D216E" w:rsidR="002C2D95" w:rsidRPr="002C2D95" w:rsidRDefault="002C2D95" w:rsidP="002C2D95">
      <w:pPr>
        <w:numPr>
          <w:ilvl w:val="0"/>
          <w:numId w:val="21"/>
        </w:numPr>
      </w:pPr>
      <w:r w:rsidRPr="002C2D95">
        <w:t>Support</w:t>
      </w:r>
      <w:r w:rsidR="004B5186">
        <w:t xml:space="preserve"> the</w:t>
      </w:r>
      <w:r w:rsidRPr="002C2D95">
        <w:t xml:space="preserve"> use of templates and checklists</w:t>
      </w:r>
      <w:r w:rsidR="004B5186">
        <w:t xml:space="preserve"> as a scaffold</w:t>
      </w:r>
    </w:p>
    <w:p w14:paraId="3A9B2CBD" w14:textId="77777777" w:rsidR="002C2D95" w:rsidRPr="002C2D95" w:rsidRDefault="002C2D95" w:rsidP="002C2D95">
      <w:pPr>
        <w:rPr>
          <w:b/>
          <w:bCs/>
          <w:color w:val="3A7C22" w:themeColor="accent6" w:themeShade="BF"/>
        </w:rPr>
      </w:pPr>
      <w:r w:rsidRPr="002C2D95">
        <w:rPr>
          <w:b/>
          <w:bCs/>
          <w:color w:val="3A7C22" w:themeColor="accent6" w:themeShade="BF"/>
        </w:rPr>
        <w:t>Change and uncertainty</w:t>
      </w:r>
    </w:p>
    <w:p w14:paraId="6E101BE9" w14:textId="77777777" w:rsidR="002C2D95" w:rsidRPr="002C2D95" w:rsidRDefault="002C2D95" w:rsidP="002C2D95">
      <w:pPr>
        <w:numPr>
          <w:ilvl w:val="0"/>
          <w:numId w:val="22"/>
        </w:numPr>
      </w:pPr>
      <w:r w:rsidRPr="002C2D95">
        <w:lastRenderedPageBreak/>
        <w:t>Give advance warning of changes wherever possible</w:t>
      </w:r>
    </w:p>
    <w:p w14:paraId="7B0B9DE5" w14:textId="77777777" w:rsidR="002C2D95" w:rsidRPr="002C2D95" w:rsidRDefault="002C2D95" w:rsidP="002C2D95">
      <w:pPr>
        <w:numPr>
          <w:ilvl w:val="0"/>
          <w:numId w:val="22"/>
        </w:numPr>
      </w:pPr>
      <w:r w:rsidRPr="002C2D95">
        <w:t xml:space="preserve">Explain the </w:t>
      </w:r>
      <w:r w:rsidRPr="002C2D95">
        <w:rPr>
          <w:i/>
          <w:iCs/>
        </w:rPr>
        <w:t>why</w:t>
      </w:r>
      <w:r w:rsidRPr="002C2D95">
        <w:t xml:space="preserve"> behind decisions or shifts in practice</w:t>
      </w:r>
    </w:p>
    <w:p w14:paraId="07B55BE5" w14:textId="77777777" w:rsidR="002C2D95" w:rsidRPr="002C2D95" w:rsidRDefault="002C2D95" w:rsidP="002C2D95">
      <w:pPr>
        <w:numPr>
          <w:ilvl w:val="0"/>
          <w:numId w:val="22"/>
        </w:numPr>
      </w:pPr>
      <w:r w:rsidRPr="002C2D95">
        <w:t>Support the ECT to prepare for non</w:t>
      </w:r>
      <w:r w:rsidRPr="002C2D95">
        <w:noBreakHyphen/>
        <w:t>routine events (e.g. parents’ evenings, inspections)</w:t>
      </w:r>
    </w:p>
    <w:p w14:paraId="539323DA" w14:textId="77777777" w:rsidR="002C2D95" w:rsidRPr="002C2D95" w:rsidRDefault="002C2D95" w:rsidP="002C2D95">
      <w:pPr>
        <w:rPr>
          <w:b/>
          <w:bCs/>
          <w:color w:val="3A7C22" w:themeColor="accent6" w:themeShade="BF"/>
        </w:rPr>
      </w:pPr>
      <w:r w:rsidRPr="002C2D95">
        <w:rPr>
          <w:b/>
          <w:bCs/>
          <w:color w:val="3A7C22" w:themeColor="accent6" w:themeShade="BF"/>
        </w:rPr>
        <w:t>Social and sensory considerations</w:t>
      </w:r>
    </w:p>
    <w:p w14:paraId="4ED33CDC" w14:textId="77777777" w:rsidR="002C2D95" w:rsidRPr="002C2D95" w:rsidRDefault="002C2D95" w:rsidP="002C2D95">
      <w:pPr>
        <w:numPr>
          <w:ilvl w:val="0"/>
          <w:numId w:val="23"/>
        </w:numPr>
      </w:pPr>
      <w:r w:rsidRPr="002C2D95">
        <w:t>Avoid assuming comfort with informal staffroom culture</w:t>
      </w:r>
    </w:p>
    <w:p w14:paraId="18D29586" w14:textId="77777777" w:rsidR="002C2D95" w:rsidRPr="002C2D95" w:rsidRDefault="002C2D95" w:rsidP="002C2D95">
      <w:pPr>
        <w:numPr>
          <w:ilvl w:val="0"/>
          <w:numId w:val="23"/>
        </w:numPr>
      </w:pPr>
      <w:r w:rsidRPr="002C2D95">
        <w:t>Clarify expectations around professional communication</w:t>
      </w:r>
    </w:p>
    <w:p w14:paraId="0049E22C" w14:textId="71656593" w:rsidR="00834F58" w:rsidRPr="002C2D95" w:rsidRDefault="002C2D95" w:rsidP="00834F58">
      <w:pPr>
        <w:numPr>
          <w:ilvl w:val="0"/>
          <w:numId w:val="23"/>
        </w:numPr>
      </w:pPr>
      <w:r w:rsidRPr="002C2D95">
        <w:t>Where possible, consider sensory load (noise, lighting, shared spaces)</w:t>
      </w:r>
    </w:p>
    <w:p w14:paraId="01E104CD" w14:textId="5F0F75D0" w:rsidR="006C3293" w:rsidRDefault="006C3293" w:rsidP="008014C8">
      <w:pPr>
        <w:rPr>
          <w:b/>
          <w:bCs/>
          <w:color w:val="3A7C22" w:themeColor="accent6" w:themeShade="BF"/>
          <w:sz w:val="32"/>
          <w:szCs w:val="32"/>
        </w:rPr>
      </w:pPr>
      <w:r>
        <w:rPr>
          <w:b/>
          <w:bCs/>
          <w:color w:val="3A7C22" w:themeColor="accent6" w:themeShade="BF"/>
          <w:sz w:val="32"/>
          <w:szCs w:val="32"/>
        </w:rPr>
        <w:t>What went well? – Stories of Success</w:t>
      </w:r>
    </w:p>
    <w:p w14:paraId="3B356961" w14:textId="09064C5B" w:rsidR="006C3293" w:rsidRDefault="006C3293" w:rsidP="008014C8">
      <w:pPr>
        <w:rPr>
          <w:color w:val="000000" w:themeColor="text1"/>
        </w:rPr>
      </w:pPr>
      <w:r w:rsidRPr="006C3293">
        <w:rPr>
          <w:color w:val="000000" w:themeColor="text1"/>
        </w:rPr>
        <w:t xml:space="preserve">This </w:t>
      </w:r>
      <w:r>
        <w:rPr>
          <w:color w:val="000000" w:themeColor="text1"/>
        </w:rPr>
        <w:t xml:space="preserve">case study has been written by a head of department who works within a secondary setting in Leicester where the ECT completed both their ITT year and ECT Induction years. </w:t>
      </w:r>
    </w:p>
    <w:p w14:paraId="2088626D" w14:textId="5C055BF3" w:rsidR="006C3293" w:rsidRPr="006C3293" w:rsidRDefault="006C3293" w:rsidP="006C3293">
      <w:pPr>
        <w:jc w:val="both"/>
        <w:rPr>
          <w:rFonts w:cs="Calibri"/>
          <w:i/>
          <w:iCs/>
        </w:rPr>
      </w:pPr>
      <w:r>
        <w:rPr>
          <w:rFonts w:ascii="Calibri" w:hAnsi="Calibri" w:cs="Calibri"/>
        </w:rPr>
        <w:t>“</w:t>
      </w:r>
      <w:r w:rsidRPr="006C3293">
        <w:rPr>
          <w:rFonts w:cs="Calibri"/>
          <w:i/>
          <w:iCs/>
        </w:rPr>
        <w:t xml:space="preserve">When our Teach First trainee joined the department, she was incredibly open from the very beginning about being neurodivergent. Even in her introductory video, she explained honestly what helped her and what could make things harder. That honesty set the tone, and I knew straight away that my job as Head of Department was to </w:t>
      </w:r>
      <w:proofErr w:type="gramStart"/>
      <w:r w:rsidRPr="006C3293">
        <w:rPr>
          <w:rFonts w:cs="Calibri"/>
          <w:i/>
          <w:iCs/>
        </w:rPr>
        <w:t>mak</w:t>
      </w:r>
      <w:r>
        <w:rPr>
          <w:rFonts w:cs="Calibri"/>
          <w:i/>
          <w:iCs/>
        </w:rPr>
        <w:t>e</w:t>
      </w:r>
      <w:r w:rsidRPr="006C3293">
        <w:rPr>
          <w:rFonts w:cs="Calibri"/>
          <w:i/>
          <w:iCs/>
        </w:rPr>
        <w:t xml:space="preserve"> sure</w:t>
      </w:r>
      <w:proofErr w:type="gramEnd"/>
      <w:r w:rsidRPr="006C3293">
        <w:rPr>
          <w:rFonts w:cs="Calibri"/>
          <w:i/>
          <w:iCs/>
        </w:rPr>
        <w:t xml:space="preserve"> she felt understood and properly supported.</w:t>
      </w:r>
    </w:p>
    <w:p w14:paraId="2B34AB18" w14:textId="4DEDEAD0" w:rsidR="006C3293" w:rsidRPr="006C3293" w:rsidRDefault="006C3293" w:rsidP="006C3293">
      <w:pPr>
        <w:jc w:val="both"/>
        <w:rPr>
          <w:rFonts w:cs="Calibri"/>
          <w:i/>
          <w:iCs/>
        </w:rPr>
      </w:pPr>
      <w:r w:rsidRPr="006C3293">
        <w:rPr>
          <w:rFonts w:cs="Calibri"/>
          <w:i/>
          <w:iCs/>
        </w:rPr>
        <w:t>We paired her with a mentor who had experience not only with trainee teachers but also with coaching staff at different stages. I wanted her to know that she could come to me or her mentor with anything</w:t>
      </w:r>
      <w:r>
        <w:rPr>
          <w:rFonts w:cs="Calibri"/>
          <w:i/>
          <w:iCs/>
        </w:rPr>
        <w:t xml:space="preserve">, </w:t>
      </w:r>
      <w:r w:rsidRPr="006C3293">
        <w:rPr>
          <w:rFonts w:cs="Calibri"/>
          <w:i/>
          <w:iCs/>
        </w:rPr>
        <w:t>big or small</w:t>
      </w:r>
      <w:r>
        <w:rPr>
          <w:rFonts w:cs="Calibri"/>
          <w:i/>
          <w:iCs/>
        </w:rPr>
        <w:t xml:space="preserve">, </w:t>
      </w:r>
      <w:r w:rsidRPr="006C3293">
        <w:rPr>
          <w:rFonts w:cs="Calibri"/>
          <w:i/>
          <w:iCs/>
        </w:rPr>
        <w:t>and that she didn’t have to hide the challenges she faced. Early on, she explained the things that made a real difference for her:</w:t>
      </w:r>
    </w:p>
    <w:p w14:paraId="1E9473BD" w14:textId="77777777" w:rsidR="006C3293" w:rsidRPr="006C3293" w:rsidRDefault="006C3293" w:rsidP="006C3293">
      <w:pPr>
        <w:numPr>
          <w:ilvl w:val="0"/>
          <w:numId w:val="46"/>
        </w:numPr>
        <w:jc w:val="both"/>
        <w:rPr>
          <w:rFonts w:cs="Calibri"/>
          <w:i/>
          <w:iCs/>
        </w:rPr>
      </w:pPr>
      <w:r w:rsidRPr="006C3293">
        <w:rPr>
          <w:rFonts w:cs="Calibri"/>
          <w:i/>
          <w:iCs/>
        </w:rPr>
        <w:t>Clear instructions</w:t>
      </w:r>
    </w:p>
    <w:p w14:paraId="4028E018" w14:textId="77777777" w:rsidR="006C3293" w:rsidRPr="006C3293" w:rsidRDefault="006C3293" w:rsidP="006C3293">
      <w:pPr>
        <w:numPr>
          <w:ilvl w:val="0"/>
          <w:numId w:val="46"/>
        </w:numPr>
        <w:jc w:val="both"/>
        <w:rPr>
          <w:rFonts w:cs="Calibri"/>
          <w:i/>
          <w:iCs/>
        </w:rPr>
      </w:pPr>
      <w:r w:rsidRPr="006C3293">
        <w:rPr>
          <w:rFonts w:cs="Calibri"/>
          <w:i/>
          <w:iCs/>
        </w:rPr>
        <w:t>No last</w:t>
      </w:r>
      <w:r w:rsidRPr="006C3293">
        <w:rPr>
          <w:rFonts w:cs="Calibri"/>
          <w:i/>
          <w:iCs/>
        </w:rPr>
        <w:noBreakHyphen/>
        <w:t>minute changes where possible</w:t>
      </w:r>
    </w:p>
    <w:p w14:paraId="7B29C8AA" w14:textId="77777777" w:rsidR="006C3293" w:rsidRPr="006C3293" w:rsidRDefault="006C3293" w:rsidP="006C3293">
      <w:pPr>
        <w:numPr>
          <w:ilvl w:val="0"/>
          <w:numId w:val="46"/>
        </w:numPr>
        <w:jc w:val="both"/>
        <w:rPr>
          <w:rFonts w:cs="Calibri"/>
          <w:i/>
          <w:iCs/>
        </w:rPr>
      </w:pPr>
      <w:r w:rsidRPr="006C3293">
        <w:rPr>
          <w:rFonts w:cs="Calibri"/>
          <w:i/>
          <w:iCs/>
        </w:rPr>
        <w:t>A mentor who could help her navigate how pupils might react or misunderstand her neurodivergence</w:t>
      </w:r>
    </w:p>
    <w:p w14:paraId="0D041AB2" w14:textId="57E74CC9" w:rsidR="006C3293" w:rsidRPr="006C3293" w:rsidRDefault="006C3293" w:rsidP="006C3293">
      <w:pPr>
        <w:jc w:val="both"/>
        <w:rPr>
          <w:rFonts w:cs="Calibri"/>
          <w:i/>
          <w:iCs/>
        </w:rPr>
      </w:pPr>
      <w:r w:rsidRPr="006C3293">
        <w:rPr>
          <w:rFonts w:cs="Calibri"/>
          <w:i/>
          <w:iCs/>
        </w:rPr>
        <w:t>One of the most effective things I did</w:t>
      </w:r>
      <w:r>
        <w:rPr>
          <w:rFonts w:cs="Calibri"/>
          <w:i/>
          <w:iCs/>
        </w:rPr>
        <w:t xml:space="preserve">, </w:t>
      </w:r>
      <w:r w:rsidRPr="006C3293">
        <w:rPr>
          <w:rFonts w:cs="Calibri"/>
          <w:i/>
          <w:iCs/>
        </w:rPr>
        <w:t>and something I’m proud of</w:t>
      </w:r>
      <w:r>
        <w:rPr>
          <w:rFonts w:cs="Calibri"/>
          <w:i/>
          <w:iCs/>
        </w:rPr>
        <w:t xml:space="preserve">, </w:t>
      </w:r>
      <w:r w:rsidRPr="006C3293">
        <w:rPr>
          <w:rFonts w:cs="Calibri"/>
          <w:i/>
          <w:iCs/>
        </w:rPr>
        <w:t>was simply asking her what she wished the rest of the team knew about her but didn’t feel confident saying out loud. With her full agreement, I held a department meeting without her there and talked honestly about how she communicates, what she finds difficult, and what small adjustments would make her day</w:t>
      </w:r>
      <w:r w:rsidRPr="006C3293">
        <w:rPr>
          <w:rFonts w:cs="Calibri"/>
          <w:i/>
          <w:iCs/>
        </w:rPr>
        <w:noBreakHyphen/>
        <w:t>to</w:t>
      </w:r>
      <w:r w:rsidRPr="006C3293">
        <w:rPr>
          <w:rFonts w:cs="Calibri"/>
          <w:i/>
          <w:iCs/>
        </w:rPr>
        <w:noBreakHyphen/>
        <w:t>day experience easier. The team were brilliant about it. Having that understanding made a huge difference to how they worked with her.</w:t>
      </w:r>
    </w:p>
    <w:p w14:paraId="7180D8BB" w14:textId="77777777" w:rsidR="006C3293" w:rsidRPr="006C3293" w:rsidRDefault="006C3293" w:rsidP="006C3293">
      <w:pPr>
        <w:jc w:val="both"/>
        <w:rPr>
          <w:rFonts w:cs="Calibri"/>
          <w:i/>
          <w:iCs/>
        </w:rPr>
      </w:pPr>
      <w:r w:rsidRPr="006C3293">
        <w:rPr>
          <w:rFonts w:cs="Calibri"/>
          <w:i/>
          <w:iCs/>
        </w:rPr>
        <w:t xml:space="preserve">A little later, she asked whether the school could arrange external training on neurodiversity and dyslexia in the workplace. We organised it, and it genuinely helped. It </w:t>
      </w:r>
      <w:r w:rsidRPr="006C3293">
        <w:rPr>
          <w:rFonts w:cs="Calibri"/>
          <w:i/>
          <w:iCs/>
        </w:rPr>
        <w:lastRenderedPageBreak/>
        <w:t>gave us practical, easy changes we could put in place—like using accessible fonts, bullet</w:t>
      </w:r>
      <w:r w:rsidRPr="006C3293">
        <w:rPr>
          <w:rFonts w:cs="Calibri"/>
          <w:i/>
          <w:iCs/>
        </w:rPr>
        <w:noBreakHyphen/>
        <w:t xml:space="preserve">pointing emails, and giving her a </w:t>
      </w:r>
      <w:proofErr w:type="gramStart"/>
      <w:r w:rsidRPr="006C3293">
        <w:rPr>
          <w:rFonts w:cs="Calibri"/>
          <w:i/>
          <w:iCs/>
        </w:rPr>
        <w:t>heads</w:t>
      </w:r>
      <w:proofErr w:type="gramEnd"/>
      <w:r w:rsidRPr="006C3293">
        <w:rPr>
          <w:rFonts w:cs="Calibri"/>
          <w:i/>
          <w:iCs/>
        </w:rPr>
        <w:noBreakHyphen/>
        <w:t>up before any major changes. These sound small, but for her, they were big.</w:t>
      </w:r>
    </w:p>
    <w:p w14:paraId="7707755E" w14:textId="5772E088" w:rsidR="006C3293" w:rsidRPr="006C3293" w:rsidRDefault="006C3293" w:rsidP="006C3293">
      <w:pPr>
        <w:jc w:val="both"/>
        <w:rPr>
          <w:rFonts w:cs="Calibri"/>
          <w:i/>
          <w:iCs/>
        </w:rPr>
      </w:pPr>
      <w:r w:rsidRPr="006C3293">
        <w:rPr>
          <w:rFonts w:cs="Calibri"/>
          <w:i/>
          <w:iCs/>
        </w:rPr>
        <w:t xml:space="preserve">In the classroom, she chose to be open with pupils about her neurodivergence. That </w:t>
      </w:r>
      <w:proofErr w:type="gramStart"/>
      <w:r w:rsidRPr="006C3293">
        <w:rPr>
          <w:rFonts w:cs="Calibri"/>
          <w:i/>
          <w:iCs/>
        </w:rPr>
        <w:t>honesty</w:t>
      </w:r>
      <w:r>
        <w:rPr>
          <w:rFonts w:cs="Calibri"/>
          <w:i/>
          <w:iCs/>
        </w:rPr>
        <w:t xml:space="preserve"> </w:t>
      </w:r>
      <w:r w:rsidRPr="006C3293">
        <w:rPr>
          <w:rFonts w:cs="Calibri"/>
          <w:i/>
          <w:iCs/>
        </w:rPr>
        <w:t>built</w:t>
      </w:r>
      <w:proofErr w:type="gramEnd"/>
      <w:r w:rsidRPr="006C3293">
        <w:rPr>
          <w:rFonts w:cs="Calibri"/>
          <w:i/>
          <w:iCs/>
        </w:rPr>
        <w:t xml:space="preserve"> trust. Some pupils who had initially struggled to connect with her really warmed to her once they understood her better. She ended up having a </w:t>
      </w:r>
      <w:proofErr w:type="gramStart"/>
      <w:r w:rsidRPr="006C3293">
        <w:rPr>
          <w:rFonts w:cs="Calibri"/>
          <w:i/>
          <w:iCs/>
        </w:rPr>
        <w:t>really strong</w:t>
      </w:r>
      <w:proofErr w:type="gramEnd"/>
      <w:r w:rsidRPr="006C3293">
        <w:rPr>
          <w:rFonts w:cs="Calibri"/>
          <w:i/>
          <w:iCs/>
        </w:rPr>
        <w:t xml:space="preserve"> ECT1 year and quickly became a valued part of the team.</w:t>
      </w:r>
    </w:p>
    <w:p w14:paraId="742E85AA" w14:textId="77777777" w:rsidR="006C3293" w:rsidRPr="006C3293" w:rsidRDefault="006C3293" w:rsidP="006C3293">
      <w:pPr>
        <w:jc w:val="both"/>
        <w:rPr>
          <w:rFonts w:cs="Calibri"/>
          <w:i/>
          <w:iCs/>
        </w:rPr>
      </w:pPr>
      <w:r w:rsidRPr="006C3293">
        <w:rPr>
          <w:rFonts w:cs="Calibri"/>
          <w:i/>
          <w:iCs/>
        </w:rPr>
        <w:t>ECT2 brought a new challenge: her mentor changed. Understandably, this made her anxious, and the initial weeks involved a few miscommunications. She came to speak to me, and I’m glad she did. I sat down with the new mentor and explained the structures that she needed to feel secure and able to do her best work:</w:t>
      </w:r>
    </w:p>
    <w:p w14:paraId="37CAC7F7" w14:textId="77777777" w:rsidR="006C3293" w:rsidRPr="006C3293" w:rsidRDefault="006C3293" w:rsidP="006C3293">
      <w:pPr>
        <w:numPr>
          <w:ilvl w:val="0"/>
          <w:numId w:val="47"/>
        </w:numPr>
        <w:jc w:val="both"/>
        <w:rPr>
          <w:rFonts w:cs="Calibri"/>
          <w:i/>
          <w:iCs/>
        </w:rPr>
      </w:pPr>
      <w:r w:rsidRPr="006C3293">
        <w:rPr>
          <w:rFonts w:cs="Calibri"/>
          <w:i/>
          <w:iCs/>
        </w:rPr>
        <w:t>Meetings scheduled at consistent times</w:t>
      </w:r>
    </w:p>
    <w:p w14:paraId="79661649" w14:textId="77777777" w:rsidR="006C3293" w:rsidRPr="006C3293" w:rsidRDefault="006C3293" w:rsidP="006C3293">
      <w:pPr>
        <w:numPr>
          <w:ilvl w:val="0"/>
          <w:numId w:val="47"/>
        </w:numPr>
        <w:jc w:val="both"/>
        <w:rPr>
          <w:rFonts w:cs="Calibri"/>
          <w:i/>
          <w:iCs/>
        </w:rPr>
      </w:pPr>
      <w:r w:rsidRPr="006C3293">
        <w:rPr>
          <w:rFonts w:cs="Calibri"/>
          <w:i/>
          <w:iCs/>
        </w:rPr>
        <w:t>No last</w:t>
      </w:r>
      <w:r w:rsidRPr="006C3293">
        <w:rPr>
          <w:rFonts w:cs="Calibri"/>
          <w:i/>
          <w:iCs/>
        </w:rPr>
        <w:noBreakHyphen/>
        <w:t>minute changes to those meetings</w:t>
      </w:r>
    </w:p>
    <w:p w14:paraId="5C71DA44" w14:textId="77777777" w:rsidR="006C3293" w:rsidRPr="006C3293" w:rsidRDefault="006C3293" w:rsidP="006C3293">
      <w:pPr>
        <w:numPr>
          <w:ilvl w:val="0"/>
          <w:numId w:val="47"/>
        </w:numPr>
        <w:jc w:val="both"/>
        <w:rPr>
          <w:rFonts w:cs="Calibri"/>
          <w:i/>
          <w:iCs/>
        </w:rPr>
      </w:pPr>
      <w:r w:rsidRPr="006C3293">
        <w:rPr>
          <w:rFonts w:cs="Calibri"/>
          <w:i/>
          <w:iCs/>
        </w:rPr>
        <w:t>Clear agendas and clear outcomes every time</w:t>
      </w:r>
    </w:p>
    <w:p w14:paraId="16CF4456" w14:textId="77777777" w:rsidR="006C3293" w:rsidRPr="006C3293" w:rsidRDefault="006C3293" w:rsidP="006C3293">
      <w:pPr>
        <w:jc w:val="both"/>
        <w:rPr>
          <w:rFonts w:cs="Calibri"/>
          <w:i/>
          <w:iCs/>
        </w:rPr>
      </w:pPr>
      <w:r w:rsidRPr="006C3293">
        <w:rPr>
          <w:rFonts w:cs="Calibri"/>
          <w:i/>
          <w:iCs/>
        </w:rPr>
        <w:t>Putting these in place made a noticeable difference. Communication settled, she found her rhythm again, and she completed ECT2 successfully. She continues to be an active, valued, and positive member of the department.</w:t>
      </w:r>
    </w:p>
    <w:p w14:paraId="287D64B8" w14:textId="6715384D" w:rsidR="006C3293" w:rsidRPr="006C3293" w:rsidRDefault="006C3293" w:rsidP="006C3293">
      <w:pPr>
        <w:jc w:val="both"/>
        <w:rPr>
          <w:rFonts w:cs="Calibri"/>
          <w:i/>
          <w:iCs/>
        </w:rPr>
      </w:pPr>
      <w:r w:rsidRPr="006C3293">
        <w:rPr>
          <w:rFonts w:cs="Calibri"/>
          <w:i/>
          <w:iCs/>
        </w:rPr>
        <w:t xml:space="preserve">In conclusion, the things that made the biggest difference were </w:t>
      </w:r>
      <w:proofErr w:type="gramStart"/>
      <w:r w:rsidRPr="006C3293">
        <w:rPr>
          <w:rFonts w:cs="Calibri"/>
          <w:i/>
          <w:iCs/>
        </w:rPr>
        <w:t>actually simple</w:t>
      </w:r>
      <w:proofErr w:type="gramEnd"/>
      <w:r w:rsidRPr="006C3293">
        <w:rPr>
          <w:rFonts w:cs="Calibri"/>
          <w:i/>
          <w:iCs/>
        </w:rPr>
        <w:t xml:space="preserve"> but purposeful. Asking her directly what she needed</w:t>
      </w:r>
      <w:r>
        <w:rPr>
          <w:rFonts w:cs="Calibri"/>
          <w:i/>
          <w:iCs/>
        </w:rPr>
        <w:t xml:space="preserve">, </w:t>
      </w:r>
      <w:r w:rsidRPr="006C3293">
        <w:rPr>
          <w:rFonts w:cs="Calibri"/>
          <w:i/>
          <w:iCs/>
        </w:rPr>
        <w:t>and really listenin</w:t>
      </w:r>
      <w:r>
        <w:rPr>
          <w:rFonts w:cs="Calibri"/>
          <w:i/>
          <w:iCs/>
        </w:rPr>
        <w:t>g, s</w:t>
      </w:r>
      <w:r w:rsidRPr="006C3293">
        <w:rPr>
          <w:rFonts w:cs="Calibri"/>
          <w:i/>
          <w:iCs/>
        </w:rPr>
        <w:t>et a foundation of trust. Sharing her needs with the team (with her full consent) helped colleagues understand her rather than make assumptions. Clear routines, predictable communication, and structured mentor meetings reduced anxiety and allowed her to focus on becoming the teacher she wanted to be. The external training deepened our collective understanding, and her openness with pupils built stronger relationships in the classroom.</w:t>
      </w:r>
    </w:p>
    <w:p w14:paraId="697AA13C" w14:textId="47E10749" w:rsidR="006C3293" w:rsidRPr="006C3293" w:rsidRDefault="006C3293" w:rsidP="006C3293">
      <w:pPr>
        <w:jc w:val="both"/>
        <w:rPr>
          <w:rFonts w:cs="Calibri"/>
          <w:i/>
          <w:iCs/>
        </w:rPr>
      </w:pPr>
      <w:proofErr w:type="gramStart"/>
      <w:r w:rsidRPr="006C3293">
        <w:rPr>
          <w:rFonts w:cs="Calibri"/>
          <w:i/>
          <w:iCs/>
        </w:rPr>
        <w:t>All of</w:t>
      </w:r>
      <w:proofErr w:type="gramEnd"/>
      <w:r w:rsidRPr="006C3293">
        <w:rPr>
          <w:rFonts w:cs="Calibri"/>
          <w:i/>
          <w:iCs/>
        </w:rPr>
        <w:t xml:space="preserve"> these pieces worked together to create an environment where she felt understood, valued, and supported</w:t>
      </w:r>
      <w:r>
        <w:rPr>
          <w:rFonts w:cs="Calibri"/>
          <w:i/>
          <w:iCs/>
        </w:rPr>
        <w:t xml:space="preserve">, </w:t>
      </w:r>
      <w:r w:rsidRPr="006C3293">
        <w:rPr>
          <w:rFonts w:cs="Calibri"/>
          <w:i/>
          <w:iCs/>
        </w:rPr>
        <w:t>not just as a trainee, but as a person. And that, ultimately, is what helped her thrive.</w:t>
      </w:r>
    </w:p>
    <w:p w14:paraId="4570C30E" w14:textId="77777777" w:rsidR="006C3293" w:rsidRPr="006C3293" w:rsidRDefault="006C3293" w:rsidP="008014C8">
      <w:pPr>
        <w:rPr>
          <w:color w:val="000000" w:themeColor="text1"/>
        </w:rPr>
      </w:pPr>
    </w:p>
    <w:p w14:paraId="0E1A53E3" w14:textId="3081D5C2" w:rsidR="008014C8" w:rsidRPr="00B51A2D" w:rsidRDefault="008014C8" w:rsidP="008014C8">
      <w:pPr>
        <w:rPr>
          <w:b/>
          <w:bCs/>
          <w:color w:val="3A7C22" w:themeColor="accent6" w:themeShade="BF"/>
          <w:sz w:val="32"/>
          <w:szCs w:val="32"/>
        </w:rPr>
      </w:pPr>
      <w:r w:rsidRPr="00B51A2D">
        <w:rPr>
          <w:b/>
          <w:bCs/>
          <w:color w:val="3A7C22" w:themeColor="accent6" w:themeShade="BF"/>
          <w:sz w:val="32"/>
          <w:szCs w:val="32"/>
        </w:rPr>
        <w:t>Tools, resources and further reading</w:t>
      </w:r>
    </w:p>
    <w:p w14:paraId="2310E6E3" w14:textId="6805E4DD" w:rsidR="008014C8" w:rsidRPr="00B51A2D" w:rsidRDefault="008014C8" w:rsidP="008014C8">
      <w:pPr>
        <w:rPr>
          <w:b/>
          <w:bCs/>
          <w:color w:val="3A7C22" w:themeColor="accent6" w:themeShade="BF"/>
        </w:rPr>
      </w:pPr>
      <w:r w:rsidRPr="00B51A2D">
        <w:rPr>
          <w:b/>
          <w:bCs/>
          <w:color w:val="3A7C22" w:themeColor="accent6" w:themeShade="BF"/>
        </w:rPr>
        <w:t>Evidence-informed practice</w:t>
      </w:r>
      <w:r w:rsidRPr="00B51A2D">
        <w:br/>
        <w:t xml:space="preserve">This guide aligns with the EEF’s </w:t>
      </w:r>
      <w:hyperlink r:id="rId6" w:history="1">
        <w:r w:rsidRPr="007B7563">
          <w:rPr>
            <w:rStyle w:val="Hyperlink"/>
            <w:i/>
            <w:iCs/>
          </w:rPr>
          <w:t>Special Educational Needs in Mainstream Schools</w:t>
        </w:r>
      </w:hyperlink>
      <w:r w:rsidRPr="00B51A2D">
        <w:t xml:space="preserve"> guidance by emphasising:</w:t>
      </w:r>
    </w:p>
    <w:p w14:paraId="5A764783" w14:textId="77777777" w:rsidR="008014C8" w:rsidRPr="00B51A2D" w:rsidRDefault="008014C8" w:rsidP="008014C8">
      <w:pPr>
        <w:numPr>
          <w:ilvl w:val="0"/>
          <w:numId w:val="11"/>
        </w:numPr>
      </w:pPr>
      <w:r w:rsidRPr="00B51A2D">
        <w:t>High-quality universal provision as the foundation for success</w:t>
      </w:r>
    </w:p>
    <w:p w14:paraId="06A25D83" w14:textId="77777777" w:rsidR="008014C8" w:rsidRPr="00B51A2D" w:rsidRDefault="008014C8" w:rsidP="008014C8">
      <w:pPr>
        <w:numPr>
          <w:ilvl w:val="0"/>
          <w:numId w:val="11"/>
        </w:numPr>
      </w:pPr>
      <w:r w:rsidRPr="00B51A2D">
        <w:lastRenderedPageBreak/>
        <w:t>Understanding needs within context rather than relying on labels</w:t>
      </w:r>
    </w:p>
    <w:p w14:paraId="1DEA13CE" w14:textId="77777777" w:rsidR="008014C8" w:rsidRPr="00B51A2D" w:rsidRDefault="008014C8" w:rsidP="008014C8">
      <w:pPr>
        <w:numPr>
          <w:ilvl w:val="0"/>
          <w:numId w:val="11"/>
        </w:numPr>
      </w:pPr>
      <w:r w:rsidRPr="00B51A2D">
        <w:t>Structured, reviewable support using assess–plan–do–review cycles</w:t>
      </w:r>
    </w:p>
    <w:p w14:paraId="38067591" w14:textId="77777777" w:rsidR="008014C8" w:rsidRPr="00B51A2D" w:rsidRDefault="008014C8" w:rsidP="008014C8">
      <w:pPr>
        <w:numPr>
          <w:ilvl w:val="0"/>
          <w:numId w:val="11"/>
        </w:numPr>
      </w:pPr>
      <w:r w:rsidRPr="00B51A2D">
        <w:t>Explicit instruction, modelling and scaffolding to develop independence</w:t>
      </w:r>
    </w:p>
    <w:p w14:paraId="6AD90A33" w14:textId="634EA901" w:rsidR="008014C8" w:rsidRPr="00B51A2D" w:rsidRDefault="008014C8" w:rsidP="008014C8">
      <w:r w:rsidRPr="00B51A2D">
        <w:t xml:space="preserve">These principles underpin the wider series of induction guides and should be read as complementary to the </w:t>
      </w:r>
      <w:r w:rsidR="007B7563">
        <w:t xml:space="preserve">ECTP and Teachers’ Standards. </w:t>
      </w:r>
    </w:p>
    <w:p w14:paraId="23692E28" w14:textId="5C027316" w:rsidR="008014C8" w:rsidRPr="00B51A2D" w:rsidRDefault="008014C8" w:rsidP="008014C8">
      <w:pPr>
        <w:rPr>
          <w:b/>
          <w:bCs/>
          <w:color w:val="3A7C22" w:themeColor="accent6" w:themeShade="BF"/>
        </w:rPr>
      </w:pPr>
      <w:r w:rsidRPr="00B51A2D">
        <w:rPr>
          <w:b/>
          <w:bCs/>
          <w:color w:val="3A7C22" w:themeColor="accent6" w:themeShade="BF"/>
        </w:rPr>
        <w:t>Additional resources</w:t>
      </w:r>
    </w:p>
    <w:p w14:paraId="151C701A" w14:textId="78FB60E1" w:rsidR="008014C8" w:rsidRDefault="008014C8" w:rsidP="008014C8">
      <w:pPr>
        <w:numPr>
          <w:ilvl w:val="0"/>
          <w:numId w:val="12"/>
        </w:numPr>
      </w:pPr>
      <w:hyperlink r:id="rId7" w:history="1">
        <w:r w:rsidRPr="00D8047D">
          <w:rPr>
            <w:rStyle w:val="Hyperlink"/>
          </w:rPr>
          <w:t>ITT ECF</w:t>
        </w:r>
      </w:hyperlink>
    </w:p>
    <w:p w14:paraId="7F05586D" w14:textId="011BA6C4" w:rsidR="008014C8" w:rsidRPr="00B51A2D" w:rsidRDefault="008014C8" w:rsidP="008014C8">
      <w:pPr>
        <w:numPr>
          <w:ilvl w:val="0"/>
          <w:numId w:val="12"/>
        </w:numPr>
      </w:pPr>
      <w:hyperlink r:id="rId8" w:history="1">
        <w:r w:rsidRPr="00D0760E">
          <w:rPr>
            <w:rStyle w:val="Hyperlink"/>
          </w:rPr>
          <w:t>Teachers Standards</w:t>
        </w:r>
      </w:hyperlink>
      <w:r>
        <w:t xml:space="preserve"> </w:t>
      </w:r>
    </w:p>
    <w:p w14:paraId="0B1E5CA4" w14:textId="77777777" w:rsidR="008014C8" w:rsidRPr="00B51A2D" w:rsidRDefault="008014C8" w:rsidP="008014C8">
      <w:pPr>
        <w:numPr>
          <w:ilvl w:val="0"/>
          <w:numId w:val="12"/>
        </w:numPr>
      </w:pPr>
      <w:hyperlink r:id="rId9" w:history="1">
        <w:r w:rsidRPr="00B51A2D">
          <w:rPr>
            <w:rStyle w:val="Hyperlink"/>
          </w:rPr>
          <w:t xml:space="preserve">EEF: </w:t>
        </w:r>
        <w:r w:rsidRPr="00B51A2D">
          <w:rPr>
            <w:rStyle w:val="Hyperlink"/>
            <w:i/>
            <w:iCs/>
          </w:rPr>
          <w:t>Special Educational Needs in Mainstream Schools</w:t>
        </w:r>
      </w:hyperlink>
    </w:p>
    <w:p w14:paraId="26D4A99D" w14:textId="22284623" w:rsidR="008014C8" w:rsidRDefault="008014C8" w:rsidP="008014C8">
      <w:pPr>
        <w:numPr>
          <w:ilvl w:val="0"/>
          <w:numId w:val="12"/>
        </w:numPr>
      </w:pPr>
      <w:hyperlink r:id="rId10" w:history="1">
        <w:r w:rsidRPr="00B51A2D">
          <w:rPr>
            <w:rStyle w:val="Hyperlink"/>
          </w:rPr>
          <w:t>ACAS guidance on reasonable adjustments</w:t>
        </w:r>
      </w:hyperlink>
    </w:p>
    <w:p w14:paraId="477BC20D" w14:textId="77777777" w:rsidR="008014C8" w:rsidRPr="00B51A2D" w:rsidRDefault="008014C8" w:rsidP="008014C8">
      <w:pPr>
        <w:numPr>
          <w:ilvl w:val="0"/>
          <w:numId w:val="12"/>
        </w:numPr>
      </w:pPr>
      <w:hyperlink r:id="rId11" w:history="1">
        <w:r w:rsidRPr="0029677E">
          <w:rPr>
            <w:rStyle w:val="Hyperlink"/>
          </w:rPr>
          <w:t>Beyond Accommodations: Supporting Autistic Professionals in Education</w:t>
        </w:r>
      </w:hyperlink>
    </w:p>
    <w:p w14:paraId="02852805" w14:textId="77777777" w:rsidR="008014C8" w:rsidRDefault="008014C8" w:rsidP="002C2D95">
      <w:pPr>
        <w:rPr>
          <w:b/>
          <w:bCs/>
          <w:color w:val="3A7C22" w:themeColor="accent6" w:themeShade="BF"/>
          <w:sz w:val="32"/>
          <w:szCs w:val="32"/>
        </w:rPr>
      </w:pPr>
    </w:p>
    <w:p w14:paraId="72977348" w14:textId="1A492109" w:rsidR="002C2D95" w:rsidRPr="00B51A2D" w:rsidRDefault="002C2D95" w:rsidP="002C2D95">
      <w:pPr>
        <w:rPr>
          <w:b/>
          <w:bCs/>
          <w:color w:val="3A7C22" w:themeColor="accent6" w:themeShade="BF"/>
          <w:sz w:val="32"/>
          <w:szCs w:val="32"/>
        </w:rPr>
      </w:pPr>
      <w:r w:rsidRPr="00B51A2D">
        <w:rPr>
          <w:b/>
          <w:bCs/>
          <w:color w:val="3A7C22" w:themeColor="accent6" w:themeShade="BF"/>
          <w:sz w:val="32"/>
          <w:szCs w:val="32"/>
        </w:rPr>
        <w:t>Feedback and evaluation</w:t>
      </w:r>
    </w:p>
    <w:p w14:paraId="117F9D1B" w14:textId="1704A304" w:rsidR="002C2D95" w:rsidRPr="0057526A" w:rsidRDefault="002C2D95" w:rsidP="002C2D95">
      <w:r w:rsidRPr="00B51A2D">
        <w:t>To ensure this guide supports continuous improvement</w:t>
      </w:r>
      <w:r>
        <w:t xml:space="preserve"> we are keen to hear you</w:t>
      </w:r>
      <w:r w:rsidR="00FE3448">
        <w:t>r</w:t>
      </w:r>
      <w:r>
        <w:t xml:space="preserve"> views, feedback and contributions </w:t>
      </w:r>
      <w:proofErr w:type="gramStart"/>
      <w:r w:rsidR="00FE3448">
        <w:t>in order to</w:t>
      </w:r>
      <w:proofErr w:type="gramEnd"/>
      <w:r>
        <w:t xml:space="preserve"> improve this resource. Please contact </w:t>
      </w:r>
      <w:hyperlink r:id="rId12" w:history="1">
        <w:r w:rsidRPr="0013373A">
          <w:rPr>
            <w:rStyle w:val="Hyperlink"/>
          </w:rPr>
          <w:t>srenshaw@leltsh-tmet.uk</w:t>
        </w:r>
      </w:hyperlink>
      <w:r>
        <w:t xml:space="preserve"> </w:t>
      </w:r>
    </w:p>
    <w:p w14:paraId="4094508A" w14:textId="6916A383" w:rsidR="00834F58" w:rsidRDefault="002C2D95" w:rsidP="00505E3C">
      <w:r w:rsidRPr="00B51A2D">
        <w:rPr>
          <w:i/>
          <w:iCs/>
        </w:rPr>
        <w:t>This guide is intended to support inclusive, evidence</w:t>
      </w:r>
      <w:r w:rsidRPr="00B51A2D">
        <w:rPr>
          <w:i/>
          <w:iCs/>
        </w:rPr>
        <w:noBreakHyphen/>
        <w:t>informed induction practice and should be used alongside statutory guidance</w:t>
      </w:r>
      <w:r>
        <w:rPr>
          <w:i/>
          <w:iCs/>
        </w:rPr>
        <w:t>, Teachers</w:t>
      </w:r>
      <w:r w:rsidR="00EF75C1">
        <w:rPr>
          <w:i/>
          <w:iCs/>
        </w:rPr>
        <w:t>’</w:t>
      </w:r>
      <w:r>
        <w:rPr>
          <w:i/>
          <w:iCs/>
        </w:rPr>
        <w:t xml:space="preserve"> Standards, ITTECF</w:t>
      </w:r>
      <w:r w:rsidRPr="00B51A2D">
        <w:rPr>
          <w:i/>
          <w:iCs/>
        </w:rPr>
        <w:t xml:space="preserve"> and</w:t>
      </w:r>
      <w:r w:rsidR="00EF75C1">
        <w:rPr>
          <w:i/>
          <w:iCs/>
        </w:rPr>
        <w:t xml:space="preserve"> your</w:t>
      </w:r>
      <w:r w:rsidRPr="00B51A2D">
        <w:rPr>
          <w:i/>
          <w:iCs/>
        </w:rPr>
        <w:t xml:space="preserve"> professional judgement.</w:t>
      </w:r>
    </w:p>
    <w:p w14:paraId="766CCD31" w14:textId="77777777" w:rsidR="006C3293" w:rsidRDefault="006C3293" w:rsidP="00505E3C">
      <w:pPr>
        <w:rPr>
          <w:b/>
          <w:bCs/>
          <w:color w:val="3A7C22" w:themeColor="accent6" w:themeShade="BF"/>
          <w:sz w:val="32"/>
          <w:szCs w:val="32"/>
        </w:rPr>
      </w:pPr>
    </w:p>
    <w:p w14:paraId="39779767" w14:textId="77777777" w:rsidR="006C3293" w:rsidRDefault="006C3293" w:rsidP="00505E3C">
      <w:pPr>
        <w:rPr>
          <w:b/>
          <w:bCs/>
          <w:color w:val="3A7C22" w:themeColor="accent6" w:themeShade="BF"/>
          <w:sz w:val="32"/>
          <w:szCs w:val="32"/>
        </w:rPr>
      </w:pPr>
    </w:p>
    <w:p w14:paraId="3854B801" w14:textId="77777777" w:rsidR="006C3293" w:rsidRDefault="006C3293" w:rsidP="00505E3C">
      <w:pPr>
        <w:rPr>
          <w:b/>
          <w:bCs/>
          <w:color w:val="3A7C22" w:themeColor="accent6" w:themeShade="BF"/>
          <w:sz w:val="32"/>
          <w:szCs w:val="32"/>
        </w:rPr>
      </w:pPr>
    </w:p>
    <w:p w14:paraId="6AA8BA61" w14:textId="77777777" w:rsidR="006C3293" w:rsidRDefault="006C3293" w:rsidP="00505E3C">
      <w:pPr>
        <w:rPr>
          <w:b/>
          <w:bCs/>
          <w:color w:val="3A7C22" w:themeColor="accent6" w:themeShade="BF"/>
          <w:sz w:val="32"/>
          <w:szCs w:val="32"/>
        </w:rPr>
      </w:pPr>
    </w:p>
    <w:p w14:paraId="1F3AFB7E" w14:textId="77777777" w:rsidR="006C3293" w:rsidRDefault="006C3293" w:rsidP="00505E3C">
      <w:pPr>
        <w:rPr>
          <w:b/>
          <w:bCs/>
          <w:color w:val="3A7C22" w:themeColor="accent6" w:themeShade="BF"/>
          <w:sz w:val="32"/>
          <w:szCs w:val="32"/>
        </w:rPr>
      </w:pPr>
    </w:p>
    <w:p w14:paraId="7FAF8A5A" w14:textId="77777777" w:rsidR="006C3293" w:rsidRDefault="006C3293" w:rsidP="00505E3C">
      <w:pPr>
        <w:rPr>
          <w:b/>
          <w:bCs/>
          <w:color w:val="3A7C22" w:themeColor="accent6" w:themeShade="BF"/>
          <w:sz w:val="32"/>
          <w:szCs w:val="32"/>
        </w:rPr>
      </w:pPr>
    </w:p>
    <w:p w14:paraId="31D79022" w14:textId="77777777" w:rsidR="006C3293" w:rsidRDefault="006C3293" w:rsidP="00505E3C">
      <w:pPr>
        <w:rPr>
          <w:b/>
          <w:bCs/>
          <w:color w:val="3A7C22" w:themeColor="accent6" w:themeShade="BF"/>
          <w:sz w:val="32"/>
          <w:szCs w:val="32"/>
        </w:rPr>
      </w:pPr>
    </w:p>
    <w:p w14:paraId="23449439" w14:textId="0C5B9E60" w:rsidR="00505E3C" w:rsidRPr="00834F58" w:rsidRDefault="00DC6A95" w:rsidP="00505E3C">
      <w:r>
        <w:rPr>
          <w:b/>
          <w:bCs/>
          <w:color w:val="3A7C22" w:themeColor="accent6" w:themeShade="BF"/>
          <w:sz w:val="32"/>
          <w:szCs w:val="32"/>
        </w:rPr>
        <w:lastRenderedPageBreak/>
        <w:t xml:space="preserve">Appendix 1 - </w:t>
      </w:r>
      <w:r w:rsidR="0044250B" w:rsidRPr="00BF6114">
        <w:rPr>
          <w:b/>
          <w:bCs/>
          <w:color w:val="3A7C22" w:themeColor="accent6" w:themeShade="BF"/>
          <w:sz w:val="32"/>
          <w:szCs w:val="32"/>
        </w:rPr>
        <w:t xml:space="preserve">Mentor </w:t>
      </w:r>
      <w:r w:rsidR="00505E3C" w:rsidRPr="00505E3C">
        <w:rPr>
          <w:b/>
          <w:bCs/>
          <w:color w:val="3A7C22" w:themeColor="accent6" w:themeShade="BF"/>
          <w:sz w:val="32"/>
          <w:szCs w:val="32"/>
        </w:rPr>
        <w:t>Reflection Checklist</w:t>
      </w:r>
      <w:r w:rsidR="00B11E52" w:rsidRPr="00BF6114">
        <w:rPr>
          <w:b/>
          <w:bCs/>
          <w:color w:val="3A7C22" w:themeColor="accent6" w:themeShade="BF"/>
          <w:sz w:val="32"/>
          <w:szCs w:val="32"/>
        </w:rPr>
        <w:t xml:space="preserve"> - </w:t>
      </w:r>
      <w:r w:rsidR="00505E3C" w:rsidRPr="00505E3C">
        <w:rPr>
          <w:b/>
          <w:bCs/>
          <w:color w:val="3A7C22" w:themeColor="accent6" w:themeShade="BF"/>
          <w:sz w:val="32"/>
          <w:szCs w:val="32"/>
        </w:rPr>
        <w:t>Supporting an ECT with Autism Spectrum Difference (ASD)</w:t>
      </w:r>
    </w:p>
    <w:p w14:paraId="1FCDBF84" w14:textId="4D39B715" w:rsidR="00AF2D0A" w:rsidRDefault="00505E3C" w:rsidP="00505E3C">
      <w:r w:rsidRPr="00505E3C">
        <w:t xml:space="preserve">Use this checklist to reflect on whether </w:t>
      </w:r>
      <w:r w:rsidR="00834F58">
        <w:t xml:space="preserve">mentoring </w:t>
      </w:r>
      <w:r w:rsidRPr="00505E3C">
        <w:t xml:space="preserve">is clear, enabling and </w:t>
      </w:r>
      <w:proofErr w:type="gramStart"/>
      <w:r w:rsidRPr="00505E3C">
        <w:t>evidence-informed</w:t>
      </w:r>
      <w:proofErr w:type="gramEnd"/>
      <w:r w:rsidRPr="00505E3C">
        <w:t>.</w:t>
      </w:r>
    </w:p>
    <w:tbl>
      <w:tblPr>
        <w:tblStyle w:val="TableGrid"/>
        <w:tblW w:w="0" w:type="auto"/>
        <w:tblLook w:val="04A0" w:firstRow="1" w:lastRow="0" w:firstColumn="1" w:lastColumn="0" w:noHBand="0" w:noVBand="1"/>
      </w:tblPr>
      <w:tblGrid>
        <w:gridCol w:w="6658"/>
        <w:gridCol w:w="1134"/>
        <w:gridCol w:w="1224"/>
      </w:tblGrid>
      <w:tr w:rsidR="00AF2D0A" w14:paraId="423E3D74" w14:textId="77777777" w:rsidTr="00AF2D0A">
        <w:tc>
          <w:tcPr>
            <w:tcW w:w="6658" w:type="dxa"/>
          </w:tcPr>
          <w:p w14:paraId="05508271" w14:textId="77777777" w:rsidR="00AF2D0A" w:rsidRPr="003D38C8" w:rsidRDefault="00AF2D0A" w:rsidP="003D38C8">
            <w:pPr>
              <w:jc w:val="center"/>
              <w:rPr>
                <w:b/>
                <w:bCs/>
                <w:color w:val="3A7C22" w:themeColor="accent6" w:themeShade="BF"/>
              </w:rPr>
            </w:pPr>
          </w:p>
        </w:tc>
        <w:tc>
          <w:tcPr>
            <w:tcW w:w="1134" w:type="dxa"/>
          </w:tcPr>
          <w:p w14:paraId="7CA8D76E" w14:textId="2C1A86A5" w:rsidR="00AF2D0A" w:rsidRPr="003D38C8" w:rsidRDefault="00AF2D0A" w:rsidP="003D38C8">
            <w:pPr>
              <w:jc w:val="center"/>
              <w:rPr>
                <w:b/>
                <w:bCs/>
                <w:color w:val="3A7C22" w:themeColor="accent6" w:themeShade="BF"/>
              </w:rPr>
            </w:pPr>
            <w:r w:rsidRPr="003D38C8">
              <w:rPr>
                <w:b/>
                <w:bCs/>
                <w:color w:val="3A7C22" w:themeColor="accent6" w:themeShade="BF"/>
              </w:rPr>
              <w:t>Yes</w:t>
            </w:r>
          </w:p>
        </w:tc>
        <w:tc>
          <w:tcPr>
            <w:tcW w:w="1224" w:type="dxa"/>
          </w:tcPr>
          <w:p w14:paraId="745D8182" w14:textId="399E3BC3" w:rsidR="00AF2D0A" w:rsidRPr="003D38C8" w:rsidRDefault="00AF2D0A" w:rsidP="003D38C8">
            <w:pPr>
              <w:jc w:val="center"/>
              <w:rPr>
                <w:b/>
                <w:bCs/>
                <w:color w:val="3A7C22" w:themeColor="accent6" w:themeShade="BF"/>
              </w:rPr>
            </w:pPr>
            <w:r w:rsidRPr="003D38C8">
              <w:rPr>
                <w:b/>
                <w:bCs/>
                <w:color w:val="3A7C22" w:themeColor="accent6" w:themeShade="BF"/>
              </w:rPr>
              <w:t>No</w:t>
            </w:r>
          </w:p>
        </w:tc>
      </w:tr>
      <w:tr w:rsidR="00AF2D0A" w14:paraId="0F4407B3" w14:textId="77777777" w:rsidTr="00AF2D0A">
        <w:tc>
          <w:tcPr>
            <w:tcW w:w="9016" w:type="dxa"/>
            <w:gridSpan w:val="3"/>
            <w:shd w:val="clear" w:color="auto" w:fill="D9F2D0" w:themeFill="accent6" w:themeFillTint="33"/>
          </w:tcPr>
          <w:p w14:paraId="2A0CC63B" w14:textId="77777777" w:rsidR="00AF2D0A" w:rsidRDefault="00AF2D0A" w:rsidP="00505E3C">
            <w:pPr>
              <w:rPr>
                <w:b/>
                <w:bCs/>
                <w:color w:val="3A7C22" w:themeColor="accent6" w:themeShade="BF"/>
              </w:rPr>
            </w:pPr>
            <w:r w:rsidRPr="00505E3C">
              <w:rPr>
                <w:b/>
                <w:bCs/>
                <w:color w:val="3A7C22" w:themeColor="accent6" w:themeShade="BF"/>
              </w:rPr>
              <w:t>Clarity and explicitness</w:t>
            </w:r>
          </w:p>
          <w:p w14:paraId="5D93EEFB" w14:textId="14165F72" w:rsidR="00126F94" w:rsidRDefault="00126F94" w:rsidP="00505E3C"/>
        </w:tc>
      </w:tr>
      <w:tr w:rsidR="00AF2D0A" w14:paraId="5691B9F5" w14:textId="77777777" w:rsidTr="00AF2D0A">
        <w:tc>
          <w:tcPr>
            <w:tcW w:w="6658" w:type="dxa"/>
          </w:tcPr>
          <w:p w14:paraId="334226BC" w14:textId="77777777" w:rsidR="00AF2D0A" w:rsidRPr="00505E3C" w:rsidRDefault="00AF2D0A" w:rsidP="00AF2D0A">
            <w:r w:rsidRPr="00505E3C">
              <w:t>Have I made expectations, routines and success criteria explicit rather than assumed?</w:t>
            </w:r>
          </w:p>
          <w:p w14:paraId="3FE822D0" w14:textId="77777777" w:rsidR="00AF2D0A" w:rsidRDefault="00AF2D0A" w:rsidP="00505E3C"/>
        </w:tc>
        <w:tc>
          <w:tcPr>
            <w:tcW w:w="1134" w:type="dxa"/>
          </w:tcPr>
          <w:p w14:paraId="478C55A9" w14:textId="77777777" w:rsidR="00AF2D0A" w:rsidRDefault="00AF2D0A" w:rsidP="00505E3C"/>
        </w:tc>
        <w:tc>
          <w:tcPr>
            <w:tcW w:w="1224" w:type="dxa"/>
          </w:tcPr>
          <w:p w14:paraId="6DBF14E6" w14:textId="77777777" w:rsidR="00AF2D0A" w:rsidRDefault="00AF2D0A" w:rsidP="00505E3C"/>
        </w:tc>
      </w:tr>
      <w:tr w:rsidR="00AF2D0A" w14:paraId="5D51C580" w14:textId="77777777" w:rsidTr="00AF2D0A">
        <w:tc>
          <w:tcPr>
            <w:tcW w:w="6658" w:type="dxa"/>
          </w:tcPr>
          <w:p w14:paraId="0B811115" w14:textId="77777777" w:rsidR="00AF2D0A" w:rsidRDefault="00AF2D0A" w:rsidP="00AF2D0A">
            <w:r w:rsidRPr="00505E3C">
              <w:t>Have I avoided vague or value-laden language (e.g. “be more confident”) without explanation?</w:t>
            </w:r>
          </w:p>
          <w:p w14:paraId="2F97D654" w14:textId="77777777" w:rsidR="00AF2D0A" w:rsidRDefault="00AF2D0A" w:rsidP="00505E3C"/>
        </w:tc>
        <w:tc>
          <w:tcPr>
            <w:tcW w:w="1134" w:type="dxa"/>
          </w:tcPr>
          <w:p w14:paraId="6F0624B0" w14:textId="77777777" w:rsidR="00AF2D0A" w:rsidRDefault="00AF2D0A" w:rsidP="00505E3C"/>
        </w:tc>
        <w:tc>
          <w:tcPr>
            <w:tcW w:w="1224" w:type="dxa"/>
          </w:tcPr>
          <w:p w14:paraId="59BA5B6A" w14:textId="77777777" w:rsidR="00AF2D0A" w:rsidRDefault="00AF2D0A" w:rsidP="00505E3C"/>
        </w:tc>
      </w:tr>
      <w:tr w:rsidR="00AF2D0A" w14:paraId="238A8294" w14:textId="77777777" w:rsidTr="00AF2D0A">
        <w:tc>
          <w:tcPr>
            <w:tcW w:w="9016" w:type="dxa"/>
            <w:gridSpan w:val="3"/>
            <w:shd w:val="clear" w:color="auto" w:fill="D9F2D0" w:themeFill="accent6" w:themeFillTint="33"/>
          </w:tcPr>
          <w:p w14:paraId="5335577A" w14:textId="77777777" w:rsidR="00AF2D0A" w:rsidRDefault="00AF2D0A" w:rsidP="00505E3C">
            <w:pPr>
              <w:rPr>
                <w:b/>
                <w:bCs/>
                <w:color w:val="3A7C22" w:themeColor="accent6" w:themeShade="BF"/>
              </w:rPr>
            </w:pPr>
            <w:r w:rsidRPr="00505E3C">
              <w:rPr>
                <w:b/>
                <w:bCs/>
                <w:color w:val="3A7C22" w:themeColor="accent6" w:themeShade="BF"/>
              </w:rPr>
              <w:t>Mentoring and communication</w:t>
            </w:r>
          </w:p>
          <w:p w14:paraId="54BE4C86" w14:textId="320B063A" w:rsidR="00126F94" w:rsidRDefault="00126F94" w:rsidP="00505E3C"/>
        </w:tc>
      </w:tr>
      <w:tr w:rsidR="00AF2D0A" w14:paraId="2EB1BB2B" w14:textId="77777777" w:rsidTr="00AF2D0A">
        <w:tc>
          <w:tcPr>
            <w:tcW w:w="6658" w:type="dxa"/>
          </w:tcPr>
          <w:p w14:paraId="0BFD00E0" w14:textId="77777777" w:rsidR="00AF2D0A" w:rsidRPr="00505E3C" w:rsidRDefault="00AF2D0A" w:rsidP="00AF2D0A">
            <w:r w:rsidRPr="00505E3C">
              <w:t>Do mentoring meetings have a clear structure and agenda?</w:t>
            </w:r>
          </w:p>
          <w:p w14:paraId="13C02FB3" w14:textId="77777777" w:rsidR="00AF2D0A" w:rsidRDefault="00AF2D0A" w:rsidP="00505E3C"/>
        </w:tc>
        <w:tc>
          <w:tcPr>
            <w:tcW w:w="1134" w:type="dxa"/>
          </w:tcPr>
          <w:p w14:paraId="4EF2A7E4" w14:textId="77777777" w:rsidR="00AF2D0A" w:rsidRDefault="00AF2D0A" w:rsidP="00505E3C"/>
        </w:tc>
        <w:tc>
          <w:tcPr>
            <w:tcW w:w="1224" w:type="dxa"/>
          </w:tcPr>
          <w:p w14:paraId="4E1FA2B4" w14:textId="77777777" w:rsidR="00AF2D0A" w:rsidRDefault="00AF2D0A" w:rsidP="00505E3C"/>
        </w:tc>
      </w:tr>
      <w:tr w:rsidR="00AF2D0A" w14:paraId="59D4D35E" w14:textId="77777777" w:rsidTr="00AF2D0A">
        <w:tc>
          <w:tcPr>
            <w:tcW w:w="6658" w:type="dxa"/>
          </w:tcPr>
          <w:p w14:paraId="747D889C" w14:textId="77777777" w:rsidR="00AF2D0A" w:rsidRPr="00505E3C" w:rsidRDefault="00AF2D0A" w:rsidP="00AF2D0A">
            <w:r w:rsidRPr="00505E3C">
              <w:t>Have I checked understanding rather than assuming agreement means clarity?</w:t>
            </w:r>
          </w:p>
          <w:p w14:paraId="73662A0C" w14:textId="77777777" w:rsidR="00AF2D0A" w:rsidRDefault="00AF2D0A" w:rsidP="00505E3C"/>
        </w:tc>
        <w:tc>
          <w:tcPr>
            <w:tcW w:w="1134" w:type="dxa"/>
          </w:tcPr>
          <w:p w14:paraId="31680EDD" w14:textId="77777777" w:rsidR="00AF2D0A" w:rsidRDefault="00AF2D0A" w:rsidP="00505E3C"/>
        </w:tc>
        <w:tc>
          <w:tcPr>
            <w:tcW w:w="1224" w:type="dxa"/>
          </w:tcPr>
          <w:p w14:paraId="000EFB8C" w14:textId="77777777" w:rsidR="00AF2D0A" w:rsidRDefault="00AF2D0A" w:rsidP="00505E3C"/>
        </w:tc>
      </w:tr>
      <w:tr w:rsidR="003D38C8" w14:paraId="0B014FF1" w14:textId="77777777" w:rsidTr="00B9661A">
        <w:tc>
          <w:tcPr>
            <w:tcW w:w="9016" w:type="dxa"/>
            <w:gridSpan w:val="3"/>
            <w:shd w:val="clear" w:color="auto" w:fill="D9F2D0" w:themeFill="accent6" w:themeFillTint="33"/>
          </w:tcPr>
          <w:p w14:paraId="33BB7D5E" w14:textId="77777777" w:rsidR="003D38C8" w:rsidRDefault="003D38C8" w:rsidP="00505E3C">
            <w:pPr>
              <w:rPr>
                <w:b/>
                <w:bCs/>
                <w:color w:val="3A7C22" w:themeColor="accent6" w:themeShade="BF"/>
              </w:rPr>
            </w:pPr>
            <w:r w:rsidRPr="00505E3C">
              <w:rPr>
                <w:b/>
                <w:bCs/>
                <w:color w:val="3A7C22" w:themeColor="accent6" w:themeShade="BF"/>
              </w:rPr>
              <w:t>Feedback and professional learning</w:t>
            </w:r>
          </w:p>
          <w:p w14:paraId="0E8E7A95" w14:textId="74410FD3" w:rsidR="00126F94" w:rsidRDefault="00126F94" w:rsidP="00505E3C"/>
        </w:tc>
      </w:tr>
      <w:tr w:rsidR="00AF2D0A" w14:paraId="794D390A" w14:textId="77777777" w:rsidTr="00AF2D0A">
        <w:tc>
          <w:tcPr>
            <w:tcW w:w="6658" w:type="dxa"/>
          </w:tcPr>
          <w:p w14:paraId="2D4022CC" w14:textId="6B7EC47C" w:rsidR="00AF2D0A" w:rsidRPr="00505E3C" w:rsidRDefault="00AF2D0A" w:rsidP="00AF2D0A">
            <w:r w:rsidRPr="00505E3C">
              <w:t xml:space="preserve">Are </w:t>
            </w:r>
            <w:r>
              <w:t xml:space="preserve">drop in </w:t>
            </w:r>
            <w:r w:rsidRPr="00505E3C">
              <w:t>observation fo</w:t>
            </w:r>
            <w:r>
              <w:t>ci</w:t>
            </w:r>
            <w:r w:rsidRPr="00505E3C">
              <w:t xml:space="preserve"> shared in advance?</w:t>
            </w:r>
          </w:p>
          <w:p w14:paraId="594F4CA4" w14:textId="77777777" w:rsidR="00AF2D0A" w:rsidRDefault="00AF2D0A" w:rsidP="00505E3C"/>
        </w:tc>
        <w:tc>
          <w:tcPr>
            <w:tcW w:w="1134" w:type="dxa"/>
          </w:tcPr>
          <w:p w14:paraId="523C0692" w14:textId="77777777" w:rsidR="00AF2D0A" w:rsidRDefault="00AF2D0A" w:rsidP="00505E3C"/>
        </w:tc>
        <w:tc>
          <w:tcPr>
            <w:tcW w:w="1224" w:type="dxa"/>
          </w:tcPr>
          <w:p w14:paraId="63D4E475" w14:textId="77777777" w:rsidR="00AF2D0A" w:rsidRDefault="00AF2D0A" w:rsidP="00505E3C"/>
        </w:tc>
      </w:tr>
      <w:tr w:rsidR="00AF2D0A" w14:paraId="040BA1AC" w14:textId="77777777" w:rsidTr="00AF2D0A">
        <w:tc>
          <w:tcPr>
            <w:tcW w:w="6658" w:type="dxa"/>
          </w:tcPr>
          <w:p w14:paraId="007E47DB" w14:textId="77777777" w:rsidR="00AF2D0A" w:rsidRPr="00505E3C" w:rsidRDefault="00AF2D0A" w:rsidP="00AF2D0A">
            <w:r w:rsidRPr="00505E3C">
              <w:t>Is feedback prioritised, with no more than one or two development points at a time?</w:t>
            </w:r>
          </w:p>
          <w:p w14:paraId="3B66319B" w14:textId="77777777" w:rsidR="00AF2D0A" w:rsidRDefault="00AF2D0A" w:rsidP="00505E3C"/>
        </w:tc>
        <w:tc>
          <w:tcPr>
            <w:tcW w:w="1134" w:type="dxa"/>
          </w:tcPr>
          <w:p w14:paraId="5A89ED82" w14:textId="77777777" w:rsidR="00AF2D0A" w:rsidRDefault="00AF2D0A" w:rsidP="00505E3C"/>
        </w:tc>
        <w:tc>
          <w:tcPr>
            <w:tcW w:w="1224" w:type="dxa"/>
          </w:tcPr>
          <w:p w14:paraId="78698B22" w14:textId="77777777" w:rsidR="00AF2D0A" w:rsidRDefault="00AF2D0A" w:rsidP="00505E3C"/>
        </w:tc>
      </w:tr>
      <w:tr w:rsidR="00AF2D0A" w14:paraId="53161F22" w14:textId="77777777" w:rsidTr="00AF2D0A">
        <w:tc>
          <w:tcPr>
            <w:tcW w:w="6658" w:type="dxa"/>
          </w:tcPr>
          <w:p w14:paraId="3184A293" w14:textId="6FE3E2AD" w:rsidR="00AF2D0A" w:rsidRPr="00505E3C" w:rsidRDefault="00AF2D0A" w:rsidP="00AF2D0A">
            <w:r w:rsidRPr="00505E3C">
              <w:t>Do I clearly separate</w:t>
            </w:r>
            <w:r>
              <w:t xml:space="preserve"> </w:t>
            </w:r>
            <w:r>
              <w:rPr>
                <w:i/>
                <w:iCs/>
              </w:rPr>
              <w:t>what went well</w:t>
            </w:r>
            <w:r w:rsidRPr="002C2D95">
              <w:t xml:space="preserve"> </w:t>
            </w:r>
            <w:r>
              <w:t xml:space="preserve">from </w:t>
            </w:r>
            <w:r>
              <w:rPr>
                <w:i/>
                <w:iCs/>
              </w:rPr>
              <w:t xml:space="preserve">even better if… </w:t>
            </w:r>
          </w:p>
          <w:p w14:paraId="25EF5ED9" w14:textId="77777777" w:rsidR="00AF2D0A" w:rsidRDefault="00AF2D0A" w:rsidP="00505E3C"/>
        </w:tc>
        <w:tc>
          <w:tcPr>
            <w:tcW w:w="1134" w:type="dxa"/>
          </w:tcPr>
          <w:p w14:paraId="6B168292" w14:textId="77777777" w:rsidR="00AF2D0A" w:rsidRDefault="00AF2D0A" w:rsidP="00505E3C"/>
        </w:tc>
        <w:tc>
          <w:tcPr>
            <w:tcW w:w="1224" w:type="dxa"/>
          </w:tcPr>
          <w:p w14:paraId="599C0FC7" w14:textId="77777777" w:rsidR="00AF2D0A" w:rsidRDefault="00AF2D0A" w:rsidP="00505E3C"/>
        </w:tc>
      </w:tr>
      <w:tr w:rsidR="003D38C8" w14:paraId="6FA2AE8C" w14:textId="77777777" w:rsidTr="003D38C8">
        <w:tc>
          <w:tcPr>
            <w:tcW w:w="9016" w:type="dxa"/>
            <w:gridSpan w:val="3"/>
            <w:shd w:val="clear" w:color="auto" w:fill="D9F2D0" w:themeFill="accent6" w:themeFillTint="33"/>
          </w:tcPr>
          <w:p w14:paraId="40E248D9" w14:textId="77777777" w:rsidR="003D38C8" w:rsidRDefault="003D38C8" w:rsidP="00505E3C">
            <w:pPr>
              <w:rPr>
                <w:b/>
                <w:bCs/>
                <w:color w:val="3A7C22" w:themeColor="accent6" w:themeShade="BF"/>
              </w:rPr>
            </w:pPr>
            <w:r w:rsidRPr="00505E3C">
              <w:rPr>
                <w:b/>
                <w:bCs/>
                <w:color w:val="3A7C22" w:themeColor="accent6" w:themeShade="BF"/>
              </w:rPr>
              <w:t>Workload, routines and sustainability</w:t>
            </w:r>
          </w:p>
          <w:p w14:paraId="06F49271" w14:textId="6A29B5C1" w:rsidR="00126F94" w:rsidRDefault="00126F94" w:rsidP="00505E3C"/>
        </w:tc>
      </w:tr>
      <w:tr w:rsidR="00AF2D0A" w14:paraId="3959E734" w14:textId="77777777" w:rsidTr="00AF2D0A">
        <w:tc>
          <w:tcPr>
            <w:tcW w:w="6658" w:type="dxa"/>
          </w:tcPr>
          <w:p w14:paraId="29EC7837" w14:textId="77777777" w:rsidR="00AF2D0A" w:rsidRPr="00505E3C" w:rsidRDefault="00AF2D0A" w:rsidP="00AF2D0A">
            <w:r w:rsidRPr="00505E3C">
              <w:t>Have I supported the ECT to establish predictable routines for planning, marking and preparation?</w:t>
            </w:r>
          </w:p>
          <w:p w14:paraId="552A9AC4" w14:textId="77777777" w:rsidR="00AF2D0A" w:rsidRDefault="00AF2D0A" w:rsidP="00505E3C"/>
        </w:tc>
        <w:tc>
          <w:tcPr>
            <w:tcW w:w="1134" w:type="dxa"/>
          </w:tcPr>
          <w:p w14:paraId="5E8030BC" w14:textId="77777777" w:rsidR="00AF2D0A" w:rsidRDefault="00AF2D0A" w:rsidP="00505E3C"/>
        </w:tc>
        <w:tc>
          <w:tcPr>
            <w:tcW w:w="1224" w:type="dxa"/>
          </w:tcPr>
          <w:p w14:paraId="76DA8CD6" w14:textId="77777777" w:rsidR="00AF2D0A" w:rsidRDefault="00AF2D0A" w:rsidP="00505E3C"/>
        </w:tc>
      </w:tr>
      <w:tr w:rsidR="00AF2D0A" w14:paraId="7DDD291C" w14:textId="77777777" w:rsidTr="00AF2D0A">
        <w:tc>
          <w:tcPr>
            <w:tcW w:w="6658" w:type="dxa"/>
          </w:tcPr>
          <w:p w14:paraId="77ED9D3E" w14:textId="77777777" w:rsidR="00AF2D0A" w:rsidRPr="00505E3C" w:rsidRDefault="00AF2D0A" w:rsidP="00AF2D0A">
            <w:r w:rsidRPr="00505E3C">
              <w:t>Are deadlines and non-negotiables clear and visible?</w:t>
            </w:r>
          </w:p>
          <w:p w14:paraId="377C8843" w14:textId="77777777" w:rsidR="00AF2D0A" w:rsidRDefault="00AF2D0A" w:rsidP="00505E3C"/>
        </w:tc>
        <w:tc>
          <w:tcPr>
            <w:tcW w:w="1134" w:type="dxa"/>
          </w:tcPr>
          <w:p w14:paraId="3F8447FC" w14:textId="77777777" w:rsidR="00AF2D0A" w:rsidRDefault="00AF2D0A" w:rsidP="00505E3C"/>
        </w:tc>
        <w:tc>
          <w:tcPr>
            <w:tcW w:w="1224" w:type="dxa"/>
          </w:tcPr>
          <w:p w14:paraId="50CA59A0" w14:textId="77777777" w:rsidR="00AF2D0A" w:rsidRDefault="00AF2D0A" w:rsidP="00505E3C"/>
        </w:tc>
      </w:tr>
      <w:tr w:rsidR="00AF2D0A" w14:paraId="7B9E8667" w14:textId="77777777" w:rsidTr="00AF2D0A">
        <w:tc>
          <w:tcPr>
            <w:tcW w:w="6658" w:type="dxa"/>
          </w:tcPr>
          <w:p w14:paraId="0230CCC8" w14:textId="77777777" w:rsidR="00AF2D0A" w:rsidRPr="00505E3C" w:rsidRDefault="00AF2D0A" w:rsidP="00AF2D0A">
            <w:r w:rsidRPr="00505E3C">
              <w:t>Have I considered whether current expectations are sustainable over time, not just achievable short-term?</w:t>
            </w:r>
          </w:p>
          <w:p w14:paraId="2CFFD017" w14:textId="77777777" w:rsidR="00AF2D0A" w:rsidRDefault="00AF2D0A" w:rsidP="00505E3C"/>
        </w:tc>
        <w:tc>
          <w:tcPr>
            <w:tcW w:w="1134" w:type="dxa"/>
          </w:tcPr>
          <w:p w14:paraId="6CDECB8F" w14:textId="77777777" w:rsidR="00AF2D0A" w:rsidRDefault="00AF2D0A" w:rsidP="00505E3C"/>
        </w:tc>
        <w:tc>
          <w:tcPr>
            <w:tcW w:w="1224" w:type="dxa"/>
          </w:tcPr>
          <w:p w14:paraId="3A34188C" w14:textId="77777777" w:rsidR="00AF2D0A" w:rsidRDefault="00AF2D0A" w:rsidP="00505E3C"/>
        </w:tc>
      </w:tr>
      <w:tr w:rsidR="003D38C8" w14:paraId="5F84BD5C" w14:textId="77777777" w:rsidTr="002F1377">
        <w:tc>
          <w:tcPr>
            <w:tcW w:w="9016" w:type="dxa"/>
            <w:gridSpan w:val="3"/>
            <w:shd w:val="clear" w:color="auto" w:fill="D9F2D0" w:themeFill="accent6" w:themeFillTint="33"/>
          </w:tcPr>
          <w:p w14:paraId="6FD2A15E" w14:textId="77777777" w:rsidR="003D38C8" w:rsidRDefault="003D38C8" w:rsidP="00505E3C">
            <w:pPr>
              <w:rPr>
                <w:b/>
                <w:bCs/>
                <w:color w:val="3A7C22" w:themeColor="accent6" w:themeShade="BF"/>
              </w:rPr>
            </w:pPr>
            <w:r w:rsidRPr="00505E3C">
              <w:rPr>
                <w:b/>
                <w:bCs/>
                <w:color w:val="3A7C22" w:themeColor="accent6" w:themeShade="BF"/>
              </w:rPr>
              <w:t>Psychological safety and wellbeing</w:t>
            </w:r>
          </w:p>
          <w:p w14:paraId="7811D77D" w14:textId="776DD236" w:rsidR="00126F94" w:rsidRDefault="00126F94" w:rsidP="00505E3C"/>
        </w:tc>
      </w:tr>
      <w:tr w:rsidR="00AF2D0A" w14:paraId="3C9B46C2" w14:textId="77777777" w:rsidTr="00AF2D0A">
        <w:tc>
          <w:tcPr>
            <w:tcW w:w="6658" w:type="dxa"/>
          </w:tcPr>
          <w:p w14:paraId="225CEDB1" w14:textId="77777777" w:rsidR="00AF2D0A" w:rsidRPr="00221842" w:rsidRDefault="00AF2D0A" w:rsidP="00AF2D0A">
            <w:r w:rsidRPr="00505E3C">
              <w:t>Have I created a mentoring relationship where it feels safe to ask questions or express uncertainty?</w:t>
            </w:r>
          </w:p>
          <w:p w14:paraId="351DE3EE" w14:textId="77777777" w:rsidR="00AF2D0A" w:rsidRDefault="00AF2D0A" w:rsidP="00505E3C"/>
        </w:tc>
        <w:tc>
          <w:tcPr>
            <w:tcW w:w="1134" w:type="dxa"/>
          </w:tcPr>
          <w:p w14:paraId="56BE03EA" w14:textId="77777777" w:rsidR="00AF2D0A" w:rsidRDefault="00AF2D0A" w:rsidP="00505E3C"/>
        </w:tc>
        <w:tc>
          <w:tcPr>
            <w:tcW w:w="1224" w:type="dxa"/>
          </w:tcPr>
          <w:p w14:paraId="52A91BC5" w14:textId="77777777" w:rsidR="00AF2D0A" w:rsidRDefault="00AF2D0A" w:rsidP="00505E3C"/>
        </w:tc>
      </w:tr>
      <w:tr w:rsidR="00AF2D0A" w14:paraId="5CE39BF2" w14:textId="77777777" w:rsidTr="00AF2D0A">
        <w:tc>
          <w:tcPr>
            <w:tcW w:w="6658" w:type="dxa"/>
          </w:tcPr>
          <w:p w14:paraId="74BE2698" w14:textId="77777777" w:rsidR="00AF2D0A" w:rsidRPr="00505E3C" w:rsidRDefault="00AF2D0A" w:rsidP="00AF2D0A">
            <w:r w:rsidRPr="00505E3C">
              <w:lastRenderedPageBreak/>
              <w:t>Am I mindful that apparent confidence or compliance may not indicate sustainability?</w:t>
            </w:r>
          </w:p>
          <w:p w14:paraId="35E27487" w14:textId="77777777" w:rsidR="00AF2D0A" w:rsidRDefault="00AF2D0A" w:rsidP="00505E3C"/>
        </w:tc>
        <w:tc>
          <w:tcPr>
            <w:tcW w:w="1134" w:type="dxa"/>
          </w:tcPr>
          <w:p w14:paraId="4B9D3BE1" w14:textId="77777777" w:rsidR="00AF2D0A" w:rsidRDefault="00AF2D0A" w:rsidP="00505E3C"/>
        </w:tc>
        <w:tc>
          <w:tcPr>
            <w:tcW w:w="1224" w:type="dxa"/>
          </w:tcPr>
          <w:p w14:paraId="6A0F0299" w14:textId="77777777" w:rsidR="00AF2D0A" w:rsidRDefault="00AF2D0A" w:rsidP="00505E3C"/>
        </w:tc>
      </w:tr>
      <w:tr w:rsidR="00AF2D0A" w14:paraId="2AE61E65" w14:textId="77777777" w:rsidTr="00AF2D0A">
        <w:tc>
          <w:tcPr>
            <w:tcW w:w="6658" w:type="dxa"/>
          </w:tcPr>
          <w:p w14:paraId="3FF50611" w14:textId="2AAF3359" w:rsidR="00AF2D0A" w:rsidRDefault="00AF2D0A" w:rsidP="00505E3C">
            <w:r w:rsidRPr="00505E3C">
              <w:t>Do I frame challenge as part of professional growth, not personal deficit?</w:t>
            </w:r>
          </w:p>
        </w:tc>
        <w:tc>
          <w:tcPr>
            <w:tcW w:w="1134" w:type="dxa"/>
          </w:tcPr>
          <w:p w14:paraId="35F69A9C" w14:textId="77777777" w:rsidR="00AF2D0A" w:rsidRDefault="00AF2D0A" w:rsidP="00505E3C"/>
        </w:tc>
        <w:tc>
          <w:tcPr>
            <w:tcW w:w="1224" w:type="dxa"/>
          </w:tcPr>
          <w:p w14:paraId="509623BE" w14:textId="77777777" w:rsidR="00AF2D0A" w:rsidRDefault="00AF2D0A" w:rsidP="00505E3C"/>
        </w:tc>
      </w:tr>
      <w:tr w:rsidR="003D38C8" w14:paraId="06214478" w14:textId="77777777" w:rsidTr="00F50B80">
        <w:tc>
          <w:tcPr>
            <w:tcW w:w="9016" w:type="dxa"/>
            <w:gridSpan w:val="3"/>
            <w:shd w:val="clear" w:color="auto" w:fill="D9F2D0" w:themeFill="accent6" w:themeFillTint="33"/>
          </w:tcPr>
          <w:p w14:paraId="6586D49C" w14:textId="77777777" w:rsidR="003D38C8" w:rsidRDefault="003D38C8" w:rsidP="00505E3C">
            <w:pPr>
              <w:rPr>
                <w:b/>
                <w:bCs/>
                <w:color w:val="3A7C22" w:themeColor="accent6" w:themeShade="BF"/>
              </w:rPr>
            </w:pPr>
            <w:r w:rsidRPr="00505E3C">
              <w:rPr>
                <w:b/>
                <w:bCs/>
                <w:color w:val="3A7C22" w:themeColor="accent6" w:themeShade="BF"/>
              </w:rPr>
              <w:t>Adjustments and review</w:t>
            </w:r>
          </w:p>
          <w:p w14:paraId="3C543926" w14:textId="50266BA8" w:rsidR="00126F94" w:rsidRDefault="00126F94" w:rsidP="00505E3C"/>
        </w:tc>
      </w:tr>
      <w:tr w:rsidR="00AF2D0A" w14:paraId="513CD905" w14:textId="77777777" w:rsidTr="00AF2D0A">
        <w:tc>
          <w:tcPr>
            <w:tcW w:w="6658" w:type="dxa"/>
          </w:tcPr>
          <w:p w14:paraId="47256FD2" w14:textId="77777777" w:rsidR="00AF2D0A" w:rsidRPr="00505E3C" w:rsidRDefault="00AF2D0A" w:rsidP="00AF2D0A">
            <w:r w:rsidRPr="00505E3C">
              <w:t>Are any adjustments purposeful, proportionate and agreed?</w:t>
            </w:r>
          </w:p>
          <w:p w14:paraId="33A7603A" w14:textId="77777777" w:rsidR="00AF2D0A" w:rsidRDefault="00AF2D0A" w:rsidP="00505E3C"/>
        </w:tc>
        <w:tc>
          <w:tcPr>
            <w:tcW w:w="1134" w:type="dxa"/>
          </w:tcPr>
          <w:p w14:paraId="37234DFD" w14:textId="77777777" w:rsidR="00AF2D0A" w:rsidRDefault="00AF2D0A" w:rsidP="00505E3C"/>
        </w:tc>
        <w:tc>
          <w:tcPr>
            <w:tcW w:w="1224" w:type="dxa"/>
          </w:tcPr>
          <w:p w14:paraId="6073B03C" w14:textId="77777777" w:rsidR="00AF2D0A" w:rsidRDefault="00AF2D0A" w:rsidP="00505E3C"/>
        </w:tc>
      </w:tr>
      <w:tr w:rsidR="00AF2D0A" w14:paraId="384250AE" w14:textId="77777777" w:rsidTr="00AF2D0A">
        <w:tc>
          <w:tcPr>
            <w:tcW w:w="6658" w:type="dxa"/>
          </w:tcPr>
          <w:p w14:paraId="19DCF47E" w14:textId="77777777" w:rsidR="00AF2D0A" w:rsidRPr="00505E3C" w:rsidRDefault="00AF2D0A" w:rsidP="00AF2D0A">
            <w:r w:rsidRPr="00505E3C">
              <w:t>Have I reviewed them using an assess–plan–do–review cycle?</w:t>
            </w:r>
          </w:p>
          <w:p w14:paraId="76E90D60" w14:textId="77777777" w:rsidR="00AF2D0A" w:rsidRDefault="00AF2D0A" w:rsidP="00505E3C"/>
        </w:tc>
        <w:tc>
          <w:tcPr>
            <w:tcW w:w="1134" w:type="dxa"/>
          </w:tcPr>
          <w:p w14:paraId="65B31D33" w14:textId="77777777" w:rsidR="00AF2D0A" w:rsidRDefault="00AF2D0A" w:rsidP="00505E3C"/>
        </w:tc>
        <w:tc>
          <w:tcPr>
            <w:tcW w:w="1224" w:type="dxa"/>
          </w:tcPr>
          <w:p w14:paraId="23741B26" w14:textId="77777777" w:rsidR="00AF2D0A" w:rsidRDefault="00AF2D0A" w:rsidP="00505E3C"/>
        </w:tc>
      </w:tr>
      <w:tr w:rsidR="00AF2D0A" w14:paraId="33733D20" w14:textId="77777777" w:rsidTr="00AF2D0A">
        <w:tc>
          <w:tcPr>
            <w:tcW w:w="6658" w:type="dxa"/>
          </w:tcPr>
          <w:p w14:paraId="68D3FE50" w14:textId="77777777" w:rsidR="00AF2D0A" w:rsidRPr="00221842" w:rsidRDefault="00AF2D0A" w:rsidP="00AF2D0A">
            <w:r w:rsidRPr="00505E3C">
              <w:t>Am I supporting the ECT to move towards greater independence, rather than maintaining fixed support?</w:t>
            </w:r>
          </w:p>
          <w:p w14:paraId="6E88CE53" w14:textId="77777777" w:rsidR="00AF2D0A" w:rsidRDefault="00AF2D0A" w:rsidP="00505E3C"/>
        </w:tc>
        <w:tc>
          <w:tcPr>
            <w:tcW w:w="1134" w:type="dxa"/>
          </w:tcPr>
          <w:p w14:paraId="11604935" w14:textId="77777777" w:rsidR="00AF2D0A" w:rsidRDefault="00AF2D0A" w:rsidP="00505E3C"/>
        </w:tc>
        <w:tc>
          <w:tcPr>
            <w:tcW w:w="1224" w:type="dxa"/>
          </w:tcPr>
          <w:p w14:paraId="35E5296E" w14:textId="77777777" w:rsidR="00AF2D0A" w:rsidRDefault="00AF2D0A" w:rsidP="00505E3C"/>
        </w:tc>
      </w:tr>
      <w:tr w:rsidR="00AF2D0A" w14:paraId="73EF33D6" w14:textId="77777777" w:rsidTr="0011113A">
        <w:tc>
          <w:tcPr>
            <w:tcW w:w="9016" w:type="dxa"/>
            <w:gridSpan w:val="3"/>
          </w:tcPr>
          <w:p w14:paraId="02CE349C" w14:textId="77777777" w:rsidR="00AF2D0A" w:rsidRDefault="00AF2D0A" w:rsidP="00AF2D0A">
            <w:pPr>
              <w:rPr>
                <w:b/>
                <w:bCs/>
                <w:color w:val="3A7C22" w:themeColor="accent6" w:themeShade="BF"/>
              </w:rPr>
            </w:pPr>
            <w:r w:rsidRPr="00505E3C">
              <w:rPr>
                <w:b/>
                <w:bCs/>
                <w:color w:val="3A7C22" w:themeColor="accent6" w:themeShade="BF"/>
              </w:rPr>
              <w:t>Reflective prompt</w:t>
            </w:r>
          </w:p>
          <w:p w14:paraId="3BC50137" w14:textId="77777777" w:rsidR="00AF2D0A" w:rsidRPr="00505E3C" w:rsidRDefault="00AF2D0A" w:rsidP="00AF2D0A">
            <w:r w:rsidRPr="00505E3C">
              <w:rPr>
                <w:i/>
                <w:iCs/>
              </w:rPr>
              <w:t>If this approach were offered to every ECT, would it represent high-quality induction practice? If not, why not?</w:t>
            </w:r>
          </w:p>
          <w:p w14:paraId="0FCC6BD5" w14:textId="77777777" w:rsidR="00AF2D0A" w:rsidRPr="00505E3C" w:rsidRDefault="00AF2D0A" w:rsidP="00AF2D0A">
            <w:pPr>
              <w:rPr>
                <w:b/>
                <w:bCs/>
                <w:color w:val="3A7C22" w:themeColor="accent6" w:themeShade="BF"/>
              </w:rPr>
            </w:pPr>
          </w:p>
          <w:p w14:paraId="21DE9B0E" w14:textId="77777777" w:rsidR="00AF2D0A" w:rsidRDefault="00AF2D0A" w:rsidP="00505E3C"/>
        </w:tc>
      </w:tr>
    </w:tbl>
    <w:p w14:paraId="40140FFB" w14:textId="6A7D4B47" w:rsidR="00505E3C" w:rsidRPr="00505E3C" w:rsidRDefault="00505E3C" w:rsidP="00505E3C">
      <w:pPr>
        <w:rPr>
          <w:b/>
          <w:bCs/>
          <w:color w:val="3A7C22" w:themeColor="accent6" w:themeShade="BF"/>
        </w:rPr>
      </w:pPr>
    </w:p>
    <w:p w14:paraId="4AFA9737" w14:textId="77777777" w:rsidR="000A55C6" w:rsidRDefault="000A55C6" w:rsidP="00505E3C"/>
    <w:p w14:paraId="68CF18AF" w14:textId="77777777" w:rsidR="0068651A" w:rsidRDefault="0068651A" w:rsidP="00505E3C"/>
    <w:p w14:paraId="5E2A3F64" w14:textId="77777777" w:rsidR="0068651A" w:rsidRDefault="0068651A" w:rsidP="00505E3C"/>
    <w:p w14:paraId="39D2D391" w14:textId="77777777" w:rsidR="0068651A" w:rsidRDefault="0068651A" w:rsidP="00505E3C"/>
    <w:p w14:paraId="0EFA6B07" w14:textId="77777777" w:rsidR="0068651A" w:rsidRDefault="0068651A" w:rsidP="00505E3C"/>
    <w:p w14:paraId="75652F3D" w14:textId="77777777" w:rsidR="0068651A" w:rsidRDefault="0068651A" w:rsidP="00505E3C"/>
    <w:p w14:paraId="2CED792C" w14:textId="77777777" w:rsidR="0068651A" w:rsidRDefault="0068651A" w:rsidP="00505E3C"/>
    <w:p w14:paraId="30368795" w14:textId="77777777" w:rsidR="0068651A" w:rsidRDefault="0068651A" w:rsidP="00505E3C"/>
    <w:p w14:paraId="00DB250B" w14:textId="77777777" w:rsidR="0068651A" w:rsidRDefault="0068651A" w:rsidP="00505E3C"/>
    <w:p w14:paraId="2170BB31" w14:textId="77777777" w:rsidR="0068651A" w:rsidRDefault="0068651A" w:rsidP="00505E3C"/>
    <w:p w14:paraId="70CECB32" w14:textId="77777777" w:rsidR="0068651A" w:rsidRDefault="0068651A" w:rsidP="00505E3C"/>
    <w:p w14:paraId="2F15958D" w14:textId="77777777" w:rsidR="0068651A" w:rsidRDefault="0068651A" w:rsidP="00505E3C"/>
    <w:p w14:paraId="13D30108" w14:textId="77777777" w:rsidR="0068651A" w:rsidRDefault="0068651A" w:rsidP="00505E3C"/>
    <w:p w14:paraId="5096D4AC" w14:textId="77777777" w:rsidR="006C3293" w:rsidRDefault="006C3293" w:rsidP="00505E3C">
      <w:pPr>
        <w:rPr>
          <w:b/>
          <w:bCs/>
          <w:color w:val="3A7C22" w:themeColor="accent6" w:themeShade="BF"/>
          <w:sz w:val="36"/>
          <w:szCs w:val="36"/>
        </w:rPr>
      </w:pPr>
    </w:p>
    <w:p w14:paraId="02672398" w14:textId="77777777" w:rsidR="006C3293" w:rsidRDefault="006C3293" w:rsidP="00505E3C">
      <w:pPr>
        <w:rPr>
          <w:b/>
          <w:bCs/>
          <w:color w:val="3A7C22" w:themeColor="accent6" w:themeShade="BF"/>
          <w:sz w:val="36"/>
          <w:szCs w:val="36"/>
        </w:rPr>
      </w:pPr>
    </w:p>
    <w:p w14:paraId="43D46578" w14:textId="4569AEE3" w:rsidR="0068651A" w:rsidRPr="004A2AF3" w:rsidRDefault="00DC6A95" w:rsidP="00505E3C">
      <w:pPr>
        <w:rPr>
          <w:b/>
          <w:bCs/>
          <w:color w:val="3A7C22" w:themeColor="accent6" w:themeShade="BF"/>
          <w:sz w:val="36"/>
          <w:szCs w:val="36"/>
        </w:rPr>
      </w:pPr>
      <w:r>
        <w:rPr>
          <w:b/>
          <w:bCs/>
          <w:color w:val="3A7C22" w:themeColor="accent6" w:themeShade="BF"/>
          <w:sz w:val="36"/>
          <w:szCs w:val="36"/>
        </w:rPr>
        <w:lastRenderedPageBreak/>
        <w:t xml:space="preserve">Appendix 2 </w:t>
      </w:r>
      <w:r w:rsidR="008C7E60">
        <w:rPr>
          <w:b/>
          <w:bCs/>
          <w:color w:val="3A7C22" w:themeColor="accent6" w:themeShade="BF"/>
          <w:sz w:val="36"/>
          <w:szCs w:val="36"/>
        </w:rPr>
        <w:t>–</w:t>
      </w:r>
      <w:r>
        <w:rPr>
          <w:b/>
          <w:bCs/>
          <w:color w:val="3A7C22" w:themeColor="accent6" w:themeShade="BF"/>
          <w:sz w:val="36"/>
          <w:szCs w:val="36"/>
        </w:rPr>
        <w:t xml:space="preserve"> </w:t>
      </w:r>
      <w:r w:rsidR="00F7774F" w:rsidRPr="004A2AF3">
        <w:rPr>
          <w:b/>
          <w:bCs/>
          <w:color w:val="3A7C22" w:themeColor="accent6" w:themeShade="BF"/>
          <w:sz w:val="36"/>
          <w:szCs w:val="36"/>
        </w:rPr>
        <w:t xml:space="preserve">Mentoring scenarios </w:t>
      </w:r>
      <w:r w:rsidR="00F7774F">
        <w:rPr>
          <w:b/>
          <w:bCs/>
          <w:color w:val="3A7C22" w:themeColor="accent6" w:themeShade="BF"/>
          <w:sz w:val="36"/>
          <w:szCs w:val="36"/>
        </w:rPr>
        <w:t>t</w:t>
      </w:r>
      <w:r w:rsidR="008C7E60">
        <w:rPr>
          <w:b/>
          <w:bCs/>
          <w:color w:val="3A7C22" w:themeColor="accent6" w:themeShade="BF"/>
          <w:sz w:val="36"/>
          <w:szCs w:val="36"/>
        </w:rPr>
        <w:t xml:space="preserve">raining </w:t>
      </w:r>
      <w:r w:rsidR="00F7774F">
        <w:rPr>
          <w:b/>
          <w:bCs/>
          <w:color w:val="3A7C22" w:themeColor="accent6" w:themeShade="BF"/>
          <w:sz w:val="36"/>
          <w:szCs w:val="36"/>
        </w:rPr>
        <w:t>r</w:t>
      </w:r>
      <w:r w:rsidR="008C7E60">
        <w:rPr>
          <w:b/>
          <w:bCs/>
          <w:color w:val="3A7C22" w:themeColor="accent6" w:themeShade="BF"/>
          <w:sz w:val="36"/>
          <w:szCs w:val="36"/>
        </w:rPr>
        <w:t xml:space="preserve">esource </w:t>
      </w:r>
    </w:p>
    <w:p w14:paraId="77F39B55" w14:textId="6C9930BF" w:rsidR="0068651A" w:rsidRPr="00855733" w:rsidRDefault="0068651A" w:rsidP="0068651A">
      <w:pPr>
        <w:rPr>
          <w:b/>
          <w:bCs/>
        </w:rPr>
      </w:pPr>
      <w:r w:rsidRPr="0068651A">
        <w:rPr>
          <w:b/>
          <w:bCs/>
          <w:color w:val="3A7C22" w:themeColor="accent6" w:themeShade="BF"/>
        </w:rPr>
        <w:t>Case study 1</w:t>
      </w:r>
      <w:r w:rsidRPr="0068651A">
        <w:br/>
      </w:r>
      <w:r w:rsidR="00C05689" w:rsidRPr="00C05689">
        <w:t>Amira is an ECT in her first term teaching Year 5. Her mentor, Tom, observes a maths lesson focused on fractions. After the lesson, Tom gives Amira detailed verbal feedback, covering behaviour routines, questioning techniques, pacing, use of representations and transitions between tasks. Amira listens carefully, nods throughout and thanks Tom for the feedback. In subsequent lessons, however, Tom notices that very little has changed. Amira seems quieter in mentoring meetings and less confident discussing her practice.</w:t>
      </w:r>
    </w:p>
    <w:p w14:paraId="72DD5116" w14:textId="27AA3776" w:rsidR="004A2AF3" w:rsidRPr="0068651A" w:rsidRDefault="00593F9E" w:rsidP="0068651A">
      <w:r w:rsidRPr="00494EB4">
        <w:rPr>
          <w:b/>
          <w:bCs/>
          <w:color w:val="3A7C22" w:themeColor="accent6" w:themeShade="BF"/>
        </w:rPr>
        <w:t>Reflect</w:t>
      </w:r>
      <w:r w:rsidR="000255F9">
        <w:t>:</w:t>
      </w:r>
      <w:r>
        <w:t xml:space="preserve"> </w:t>
      </w:r>
      <w:r w:rsidR="000255F9" w:rsidRPr="00A81E33">
        <w:rPr>
          <w:i/>
          <w:iCs/>
        </w:rPr>
        <w:t>How might the volume and mode of feedback be affecting the ECT’s ability to prioritise and act?</w:t>
      </w:r>
    </w:p>
    <w:p w14:paraId="6662C05D" w14:textId="19CF781A" w:rsidR="002C1D33" w:rsidRDefault="004A2AF3" w:rsidP="0068651A">
      <w:pPr>
        <w:rPr>
          <w:b/>
          <w:bCs/>
        </w:rPr>
      </w:pPr>
      <w:r>
        <w:rPr>
          <w:b/>
          <w:bCs/>
          <w:noProof/>
        </w:rPr>
        <mc:AlternateContent>
          <mc:Choice Requires="wps">
            <w:drawing>
              <wp:anchor distT="0" distB="0" distL="114300" distR="114300" simplePos="0" relativeHeight="251659264" behindDoc="0" locked="0" layoutInCell="1" allowOverlap="1" wp14:anchorId="473F4321" wp14:editId="5C7719DA">
                <wp:simplePos x="0" y="0"/>
                <wp:positionH relativeFrom="column">
                  <wp:posOffset>31898</wp:posOffset>
                </wp:positionH>
                <wp:positionV relativeFrom="paragraph">
                  <wp:posOffset>21620</wp:posOffset>
                </wp:positionV>
                <wp:extent cx="5624623" cy="1722474"/>
                <wp:effectExtent l="0" t="0" r="14605" b="11430"/>
                <wp:wrapNone/>
                <wp:docPr id="171270612" name="Rectangle: Rounded Corners 1"/>
                <wp:cNvGraphicFramePr/>
                <a:graphic xmlns:a="http://schemas.openxmlformats.org/drawingml/2006/main">
                  <a:graphicData uri="http://schemas.microsoft.com/office/word/2010/wordprocessingShape">
                    <wps:wsp>
                      <wps:cNvSpPr/>
                      <wps:spPr>
                        <a:xfrm>
                          <a:off x="0" y="0"/>
                          <a:ext cx="5624623" cy="1722474"/>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936881" id="Rectangle: Rounded Corners 1" o:spid="_x0000_s1026" style="position:absolute;margin-left:2.5pt;margin-top:1.7pt;width:442.9pt;height:135.6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" fillcolor="white [3201]" strokecolor="#196b24 [3206]" strokeweight="1pt">
                <v:stroke joinstyle="miter"/>
              </v:roundrect>
            </w:pict>
          </mc:Fallback>
        </mc:AlternateContent>
      </w:r>
    </w:p>
    <w:p w14:paraId="7A3502D4" w14:textId="77777777" w:rsidR="002C1D33" w:rsidRDefault="002C1D33" w:rsidP="0068651A">
      <w:pPr>
        <w:rPr>
          <w:b/>
          <w:bCs/>
        </w:rPr>
      </w:pPr>
    </w:p>
    <w:p w14:paraId="302E8171" w14:textId="77777777" w:rsidR="002C1D33" w:rsidRDefault="002C1D33" w:rsidP="0068651A">
      <w:pPr>
        <w:rPr>
          <w:b/>
          <w:bCs/>
        </w:rPr>
      </w:pPr>
    </w:p>
    <w:p w14:paraId="25B01F9B" w14:textId="77777777" w:rsidR="004A2AF3" w:rsidRDefault="004A2AF3" w:rsidP="0068651A">
      <w:pPr>
        <w:rPr>
          <w:b/>
          <w:bCs/>
        </w:rPr>
      </w:pPr>
    </w:p>
    <w:p w14:paraId="0FDB6F4B" w14:textId="77777777" w:rsidR="004A2AF3" w:rsidRDefault="004A2AF3" w:rsidP="0068651A">
      <w:pPr>
        <w:rPr>
          <w:b/>
          <w:bCs/>
        </w:rPr>
      </w:pPr>
    </w:p>
    <w:p w14:paraId="1E9F4984" w14:textId="77777777" w:rsidR="000F485E" w:rsidRDefault="000F485E" w:rsidP="0068651A">
      <w:pPr>
        <w:rPr>
          <w:b/>
          <w:bCs/>
        </w:rPr>
      </w:pPr>
    </w:p>
    <w:tbl>
      <w:tblPr>
        <w:tblStyle w:val="TableGrid"/>
        <w:tblW w:w="0" w:type="auto"/>
        <w:tblLook w:val="04A0" w:firstRow="1" w:lastRow="0" w:firstColumn="1" w:lastColumn="0" w:noHBand="0" w:noVBand="1"/>
      </w:tblPr>
      <w:tblGrid>
        <w:gridCol w:w="4508"/>
        <w:gridCol w:w="4508"/>
      </w:tblGrid>
      <w:tr w:rsidR="000F485E" w14:paraId="0ADAFD77" w14:textId="77777777" w:rsidTr="000F485E">
        <w:tc>
          <w:tcPr>
            <w:tcW w:w="4508" w:type="dxa"/>
            <w:shd w:val="clear" w:color="auto" w:fill="D9F2D0" w:themeFill="accent6" w:themeFillTint="33"/>
          </w:tcPr>
          <w:p w14:paraId="5874FEAC" w14:textId="6046B546" w:rsidR="00E17819" w:rsidRDefault="000F485E" w:rsidP="0068651A">
            <w:pPr>
              <w:rPr>
                <w:b/>
                <w:bCs/>
              </w:rPr>
            </w:pPr>
            <w:r w:rsidRPr="0068651A">
              <w:rPr>
                <w:b/>
                <w:bCs/>
              </w:rPr>
              <w:t>The</w:t>
            </w:r>
            <w:r>
              <w:rPr>
                <w:b/>
                <w:bCs/>
              </w:rPr>
              <w:t xml:space="preserve"> mentoring pitfall</w:t>
            </w:r>
          </w:p>
        </w:tc>
        <w:tc>
          <w:tcPr>
            <w:tcW w:w="4508" w:type="dxa"/>
            <w:shd w:val="clear" w:color="auto" w:fill="D9F2D0" w:themeFill="accent6" w:themeFillTint="33"/>
          </w:tcPr>
          <w:p w14:paraId="1B5AF0F7" w14:textId="34D2FE01" w:rsidR="000F485E" w:rsidRDefault="000F485E" w:rsidP="0068651A">
            <w:pPr>
              <w:rPr>
                <w:b/>
                <w:bCs/>
              </w:rPr>
            </w:pPr>
            <w:r w:rsidRPr="0068651A">
              <w:rPr>
                <w:b/>
                <w:bCs/>
              </w:rPr>
              <w:t>Why it matters</w:t>
            </w:r>
          </w:p>
        </w:tc>
      </w:tr>
      <w:tr w:rsidR="000F485E" w14:paraId="714D33DB" w14:textId="77777777" w:rsidTr="000F485E">
        <w:tc>
          <w:tcPr>
            <w:tcW w:w="4508" w:type="dxa"/>
          </w:tcPr>
          <w:p w14:paraId="7CAADD20" w14:textId="77777777" w:rsidR="000F485E" w:rsidRPr="0068651A" w:rsidRDefault="000F485E" w:rsidP="000F485E">
            <w:pPr>
              <w:spacing w:after="160" w:line="278" w:lineRule="auto"/>
            </w:pPr>
            <w:proofErr w:type="gramStart"/>
            <w:r w:rsidRPr="0068651A">
              <w:t>Assuming that</w:t>
            </w:r>
            <w:proofErr w:type="gramEnd"/>
            <w:r w:rsidRPr="0068651A">
              <w:t xml:space="preserve"> agreement or attentiveness indicates understanding and capacity to act on multiple points at once.</w:t>
            </w:r>
          </w:p>
          <w:p w14:paraId="0E3A6785" w14:textId="77777777" w:rsidR="000F485E" w:rsidRDefault="000F485E" w:rsidP="0068651A">
            <w:pPr>
              <w:rPr>
                <w:b/>
                <w:bCs/>
              </w:rPr>
            </w:pPr>
          </w:p>
        </w:tc>
        <w:tc>
          <w:tcPr>
            <w:tcW w:w="4508" w:type="dxa"/>
          </w:tcPr>
          <w:p w14:paraId="3AFCD137" w14:textId="77777777" w:rsidR="000F485E" w:rsidRPr="0068651A" w:rsidRDefault="000F485E" w:rsidP="000F485E">
            <w:pPr>
              <w:spacing w:after="160" w:line="278" w:lineRule="auto"/>
            </w:pPr>
            <w:r w:rsidRPr="0068651A">
              <w:t>Cognitive overload can prevent effective implementation, even when motivation is high.</w:t>
            </w:r>
            <w:r>
              <w:t xml:space="preserve"> This is likely a case of the ECT experiencing </w:t>
            </w:r>
            <w:r>
              <w:rPr>
                <w:b/>
                <w:bCs/>
              </w:rPr>
              <w:t>f</w:t>
            </w:r>
            <w:r w:rsidRPr="0068651A">
              <w:rPr>
                <w:b/>
                <w:bCs/>
              </w:rPr>
              <w:t>eedback overload</w:t>
            </w:r>
          </w:p>
          <w:p w14:paraId="71A21003" w14:textId="77777777" w:rsidR="000F485E" w:rsidRDefault="000F485E" w:rsidP="0068651A">
            <w:pPr>
              <w:rPr>
                <w:b/>
                <w:bCs/>
              </w:rPr>
            </w:pPr>
          </w:p>
        </w:tc>
      </w:tr>
      <w:tr w:rsidR="000F485E" w14:paraId="2AF3E40F" w14:textId="77777777" w:rsidTr="0040428B">
        <w:tc>
          <w:tcPr>
            <w:tcW w:w="9016" w:type="dxa"/>
            <w:gridSpan w:val="2"/>
          </w:tcPr>
          <w:p w14:paraId="50D543B5" w14:textId="77777777" w:rsidR="000F485E" w:rsidRPr="00176E21" w:rsidRDefault="000F485E" w:rsidP="000F485E">
            <w:pPr>
              <w:spacing w:after="160" w:line="278" w:lineRule="auto"/>
            </w:pPr>
            <w:r>
              <w:rPr>
                <w:b/>
                <w:bCs/>
              </w:rPr>
              <w:t>Suggested approaches could be…</w:t>
            </w:r>
          </w:p>
          <w:p w14:paraId="77C18D52" w14:textId="77777777" w:rsidR="000F485E" w:rsidRPr="00176E21" w:rsidRDefault="000F485E" w:rsidP="000F485E">
            <w:pPr>
              <w:numPr>
                <w:ilvl w:val="0"/>
                <w:numId w:val="39"/>
              </w:numPr>
              <w:spacing w:after="160" w:line="278" w:lineRule="auto"/>
            </w:pPr>
            <w:r w:rsidRPr="00176E21">
              <w:t xml:space="preserve">Prioritise </w:t>
            </w:r>
            <w:r w:rsidRPr="00176E21">
              <w:rPr>
                <w:b/>
                <w:bCs/>
              </w:rPr>
              <w:t>one or two development points</w:t>
            </w:r>
            <w:r w:rsidRPr="00176E21">
              <w:t xml:space="preserve"> only, explicitly linked </w:t>
            </w:r>
            <w:r>
              <w:t xml:space="preserve">to aspects of the ECTP. </w:t>
            </w:r>
          </w:p>
          <w:p w14:paraId="575767CB" w14:textId="77777777" w:rsidR="000F485E" w:rsidRPr="00176E21" w:rsidRDefault="000F485E" w:rsidP="000F485E">
            <w:pPr>
              <w:numPr>
                <w:ilvl w:val="0"/>
                <w:numId w:val="39"/>
              </w:numPr>
              <w:spacing w:after="160" w:line="278" w:lineRule="auto"/>
            </w:pPr>
            <w:r w:rsidRPr="00176E21">
              <w:t xml:space="preserve">Share feedback </w:t>
            </w:r>
            <w:r w:rsidRPr="00176E21">
              <w:rPr>
                <w:b/>
                <w:bCs/>
              </w:rPr>
              <w:t>in writing</w:t>
            </w:r>
            <w:r w:rsidRPr="00176E21">
              <w:t xml:space="preserve"> with concrete examples</w:t>
            </w:r>
            <w:r>
              <w:t xml:space="preserve"> and deliberate practice. </w:t>
            </w:r>
          </w:p>
          <w:p w14:paraId="4F35AAE4" w14:textId="77777777" w:rsidR="000F485E" w:rsidRPr="00176E21" w:rsidRDefault="000F485E" w:rsidP="000F485E">
            <w:pPr>
              <w:numPr>
                <w:ilvl w:val="0"/>
                <w:numId w:val="39"/>
              </w:numPr>
              <w:spacing w:after="160" w:line="278" w:lineRule="auto"/>
            </w:pPr>
            <w:r w:rsidRPr="00176E21">
              <w:t xml:space="preserve">Agree </w:t>
            </w:r>
            <w:r w:rsidRPr="00176E21">
              <w:rPr>
                <w:i/>
                <w:iCs/>
              </w:rPr>
              <w:t>one clear action</w:t>
            </w:r>
            <w:r w:rsidRPr="00176E21">
              <w:t xml:space="preserve"> to trial before the next observation</w:t>
            </w:r>
          </w:p>
          <w:p w14:paraId="457B6C3B" w14:textId="4A829CD6" w:rsidR="000F485E" w:rsidRPr="00757079" w:rsidRDefault="000F485E" w:rsidP="00757079">
            <w:pPr>
              <w:numPr>
                <w:ilvl w:val="0"/>
                <w:numId w:val="39"/>
              </w:numPr>
              <w:spacing w:after="160" w:line="278" w:lineRule="auto"/>
            </w:pPr>
            <w:r w:rsidRPr="00176E21">
              <w:t xml:space="preserve">Check understanding by asking: </w:t>
            </w:r>
            <w:r w:rsidRPr="00176E21">
              <w:rPr>
                <w:i/>
                <w:iCs/>
              </w:rPr>
              <w:t>“Which of these feels most manageable to focus on first?”</w:t>
            </w:r>
          </w:p>
        </w:tc>
      </w:tr>
    </w:tbl>
    <w:p w14:paraId="74EFB93E" w14:textId="77777777" w:rsidR="00757079" w:rsidRDefault="00757079" w:rsidP="00757079">
      <w:pPr>
        <w:rPr>
          <w:b/>
          <w:bCs/>
        </w:rPr>
      </w:pPr>
    </w:p>
    <w:p w14:paraId="03AE296C" w14:textId="77777777" w:rsidR="00757079" w:rsidRDefault="001532FA" w:rsidP="0068651A">
      <w:pPr>
        <w:rPr>
          <w:b/>
          <w:bCs/>
        </w:rPr>
      </w:pPr>
      <w:r w:rsidRPr="00494EB4">
        <w:rPr>
          <w:b/>
          <w:bCs/>
          <w:color w:val="3A7C22" w:themeColor="accent6" w:themeShade="BF"/>
        </w:rPr>
        <w:t>Application</w:t>
      </w:r>
      <w:r w:rsidR="00757079" w:rsidRPr="00494EB4">
        <w:rPr>
          <w:b/>
          <w:bCs/>
          <w:color w:val="3A7C22" w:themeColor="accent6" w:themeShade="BF"/>
        </w:rPr>
        <w:t xml:space="preserve"> </w:t>
      </w:r>
      <w:r w:rsidR="00757079">
        <w:rPr>
          <w:b/>
          <w:bCs/>
        </w:rPr>
        <w:t xml:space="preserve">- </w:t>
      </w:r>
      <w:r w:rsidR="00757079" w:rsidRPr="00175967">
        <w:rPr>
          <w:i/>
          <w:iCs/>
        </w:rPr>
        <w:t>How do you structure and sequence feedback to reduce cognitive load and make next steps clear?</w:t>
      </w:r>
    </w:p>
    <w:p w14:paraId="5E60CFA8" w14:textId="6BEB7963" w:rsidR="00593F9E" w:rsidRPr="00757079" w:rsidRDefault="00333E8E" w:rsidP="0068651A">
      <w:pPr>
        <w:rPr>
          <w:b/>
          <w:bCs/>
        </w:rPr>
      </w:pPr>
      <w:r w:rsidRPr="00494EB4">
        <w:rPr>
          <w:b/>
          <w:bCs/>
          <w:color w:val="3A7C22" w:themeColor="accent6" w:themeShade="BF"/>
        </w:rPr>
        <w:lastRenderedPageBreak/>
        <w:t>C</w:t>
      </w:r>
      <w:r w:rsidR="0068651A" w:rsidRPr="0068651A">
        <w:rPr>
          <w:b/>
          <w:bCs/>
          <w:color w:val="3A7C22" w:themeColor="accent6" w:themeShade="BF"/>
        </w:rPr>
        <w:t>ase study 2</w:t>
      </w:r>
      <w:r w:rsidR="0068651A" w:rsidRPr="0068651A">
        <w:br/>
      </w:r>
      <w:r w:rsidR="00593F9E" w:rsidRPr="00593F9E">
        <w:t>Daniel is an ECT teaching science in a large secondary school. His induction tutor, Rachel, receives informal comments from colleagues that Daniel seems distant in the staffroom and does not engage in casual conversation. During a mentoring meeting, Rachel gently suggests that Daniel might want to “make more effort to fit in” to build relationships with the team. Daniel appears confused by this feedback and later becomes more withdrawn, limiting interactions to strictly task-focused communication</w:t>
      </w:r>
      <w:r w:rsidR="00593F9E">
        <w:t>.</w:t>
      </w:r>
    </w:p>
    <w:p w14:paraId="63E0B1E1" w14:textId="6D14B171" w:rsidR="00593F9E" w:rsidRPr="0068651A" w:rsidRDefault="00593F9E" w:rsidP="00593F9E">
      <w:r w:rsidRPr="00494EB4">
        <w:rPr>
          <w:b/>
          <w:bCs/>
          <w:color w:val="3A7C22" w:themeColor="accent6" w:themeShade="BF"/>
        </w:rPr>
        <w:t>Reflect</w:t>
      </w:r>
      <w:r w:rsidR="00E7500F" w:rsidRPr="00494EB4">
        <w:rPr>
          <w:color w:val="3A7C22" w:themeColor="accent6" w:themeShade="BF"/>
        </w:rPr>
        <w:t xml:space="preserve"> </w:t>
      </w:r>
      <w:r w:rsidR="00E7500F">
        <w:t xml:space="preserve">- </w:t>
      </w:r>
      <w:r w:rsidR="00A81E33" w:rsidRPr="00A81E33">
        <w:rPr>
          <w:i/>
          <w:iCs/>
        </w:rPr>
        <w:t>Which expectations in this situation may be implicit or socially assumed rather than explicitly taught?</w:t>
      </w:r>
    </w:p>
    <w:p w14:paraId="3E14E865" w14:textId="77777777" w:rsidR="00593F9E" w:rsidRDefault="00593F9E" w:rsidP="00593F9E">
      <w:pPr>
        <w:rPr>
          <w:b/>
          <w:bCs/>
        </w:rPr>
      </w:pPr>
      <w:r>
        <w:rPr>
          <w:b/>
          <w:bCs/>
          <w:noProof/>
        </w:rPr>
        <mc:AlternateContent>
          <mc:Choice Requires="wps">
            <w:drawing>
              <wp:anchor distT="0" distB="0" distL="114300" distR="114300" simplePos="0" relativeHeight="251661312" behindDoc="0" locked="0" layoutInCell="1" allowOverlap="1" wp14:anchorId="5EFEC2C1" wp14:editId="25E86C42">
                <wp:simplePos x="0" y="0"/>
                <wp:positionH relativeFrom="margin">
                  <wp:align>left</wp:align>
                </wp:positionH>
                <wp:positionV relativeFrom="paragraph">
                  <wp:posOffset>64120</wp:posOffset>
                </wp:positionV>
                <wp:extent cx="5624623" cy="1722474"/>
                <wp:effectExtent l="0" t="0" r="14605" b="11430"/>
                <wp:wrapNone/>
                <wp:docPr id="633443041" name="Rectangle: Rounded Corners 1"/>
                <wp:cNvGraphicFramePr/>
                <a:graphic xmlns:a="http://schemas.openxmlformats.org/drawingml/2006/main">
                  <a:graphicData uri="http://schemas.microsoft.com/office/word/2010/wordprocessingShape">
                    <wps:wsp>
                      <wps:cNvSpPr/>
                      <wps:spPr>
                        <a:xfrm>
                          <a:off x="0" y="0"/>
                          <a:ext cx="5624623" cy="1722474"/>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FDE6C12" id="Rectangle: Rounded Corners 1" o:spid="_x0000_s1026" style="position:absolute;margin-left:0;margin-top:5.05pt;width:442.9pt;height:135.65pt;z-index:25166131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" fillcolor="white [3201]" strokecolor="#196b24 [3206]" strokeweight="1pt">
                <v:stroke joinstyle="miter"/>
                <w10:wrap anchorx="margin"/>
              </v:roundrect>
            </w:pict>
          </mc:Fallback>
        </mc:AlternateContent>
      </w:r>
    </w:p>
    <w:p w14:paraId="4324347F" w14:textId="77777777" w:rsidR="00593F9E" w:rsidRDefault="00593F9E" w:rsidP="00593F9E">
      <w:pPr>
        <w:rPr>
          <w:b/>
          <w:bCs/>
        </w:rPr>
      </w:pPr>
    </w:p>
    <w:p w14:paraId="0350C088" w14:textId="77777777" w:rsidR="00593F9E" w:rsidRDefault="00593F9E" w:rsidP="0068651A"/>
    <w:p w14:paraId="55496B2F" w14:textId="77777777" w:rsidR="00593F9E" w:rsidRDefault="00593F9E" w:rsidP="0068651A"/>
    <w:p w14:paraId="6513B79C" w14:textId="77777777" w:rsidR="00593F9E" w:rsidRDefault="00593F9E" w:rsidP="0068651A"/>
    <w:p w14:paraId="269EA5B0" w14:textId="77777777" w:rsidR="00A81E33" w:rsidRDefault="00A81E33" w:rsidP="0068651A"/>
    <w:tbl>
      <w:tblPr>
        <w:tblStyle w:val="TableGrid"/>
        <w:tblW w:w="0" w:type="auto"/>
        <w:tblLook w:val="04A0" w:firstRow="1" w:lastRow="0" w:firstColumn="1" w:lastColumn="0" w:noHBand="0" w:noVBand="1"/>
      </w:tblPr>
      <w:tblGrid>
        <w:gridCol w:w="4508"/>
        <w:gridCol w:w="4508"/>
      </w:tblGrid>
      <w:tr w:rsidR="00D34B55" w14:paraId="427D20CC" w14:textId="77777777" w:rsidTr="003168E5">
        <w:tc>
          <w:tcPr>
            <w:tcW w:w="4508" w:type="dxa"/>
            <w:shd w:val="clear" w:color="auto" w:fill="D9F2D0" w:themeFill="accent6" w:themeFillTint="33"/>
          </w:tcPr>
          <w:p w14:paraId="4460CA09" w14:textId="77777777" w:rsidR="00D34B55" w:rsidRDefault="00D34B55" w:rsidP="003168E5">
            <w:pPr>
              <w:rPr>
                <w:b/>
                <w:bCs/>
              </w:rPr>
            </w:pPr>
            <w:r w:rsidRPr="0068651A">
              <w:rPr>
                <w:b/>
                <w:bCs/>
              </w:rPr>
              <w:t>The</w:t>
            </w:r>
            <w:r>
              <w:rPr>
                <w:b/>
                <w:bCs/>
              </w:rPr>
              <w:t xml:space="preserve"> mentoring pitfall</w:t>
            </w:r>
          </w:p>
          <w:p w14:paraId="56670802" w14:textId="77777777" w:rsidR="00E17819" w:rsidRDefault="00E17819" w:rsidP="003168E5">
            <w:pPr>
              <w:rPr>
                <w:b/>
                <w:bCs/>
              </w:rPr>
            </w:pPr>
          </w:p>
        </w:tc>
        <w:tc>
          <w:tcPr>
            <w:tcW w:w="4508" w:type="dxa"/>
            <w:shd w:val="clear" w:color="auto" w:fill="D9F2D0" w:themeFill="accent6" w:themeFillTint="33"/>
          </w:tcPr>
          <w:p w14:paraId="49AB0F77" w14:textId="77777777" w:rsidR="00D34B55" w:rsidRDefault="00D34B55" w:rsidP="003168E5">
            <w:pPr>
              <w:rPr>
                <w:b/>
                <w:bCs/>
              </w:rPr>
            </w:pPr>
            <w:r w:rsidRPr="0068651A">
              <w:rPr>
                <w:b/>
                <w:bCs/>
              </w:rPr>
              <w:t>Why it matters</w:t>
            </w:r>
          </w:p>
        </w:tc>
      </w:tr>
      <w:tr w:rsidR="00D34B55" w14:paraId="3BAB4643" w14:textId="77777777" w:rsidTr="003168E5">
        <w:tc>
          <w:tcPr>
            <w:tcW w:w="4508" w:type="dxa"/>
          </w:tcPr>
          <w:p w14:paraId="5EFC8EDD" w14:textId="1CDD5A23" w:rsidR="00D34B55" w:rsidRDefault="00D34B55" w:rsidP="00D34B55">
            <w:pPr>
              <w:rPr>
                <w:b/>
                <w:bCs/>
              </w:rPr>
            </w:pPr>
            <w:r w:rsidRPr="0068651A">
              <w:t>Treating unwritten social norms as self-evident and framing difference as a professional weakness.</w:t>
            </w:r>
          </w:p>
        </w:tc>
        <w:tc>
          <w:tcPr>
            <w:tcW w:w="4508" w:type="dxa"/>
          </w:tcPr>
          <w:p w14:paraId="425A7F8C" w14:textId="77777777" w:rsidR="00D34B55" w:rsidRDefault="00D34B55" w:rsidP="00D34B55">
            <w:r w:rsidRPr="0068651A">
              <w:t>Professional competence can be misjudged when expectations are implicit rather than explicitly taught.</w:t>
            </w:r>
            <w:r>
              <w:t xml:space="preserve"> This is likely to be a case of the ECT experiencing challenges around the </w:t>
            </w:r>
            <w:r w:rsidRPr="006C45AC">
              <w:rPr>
                <w:b/>
                <w:bCs/>
              </w:rPr>
              <w:t>interpretation of professional norms</w:t>
            </w:r>
            <w:r>
              <w:rPr>
                <w:b/>
                <w:bCs/>
              </w:rPr>
              <w:t xml:space="preserve">. </w:t>
            </w:r>
          </w:p>
          <w:p w14:paraId="4BC4101F" w14:textId="77777777" w:rsidR="00D34B55" w:rsidRDefault="00D34B55" w:rsidP="00D34B55">
            <w:pPr>
              <w:rPr>
                <w:b/>
                <w:bCs/>
              </w:rPr>
            </w:pPr>
          </w:p>
        </w:tc>
      </w:tr>
      <w:tr w:rsidR="00D34B55" w14:paraId="3A2CFB9D" w14:textId="77777777" w:rsidTr="003168E5">
        <w:tc>
          <w:tcPr>
            <w:tcW w:w="9016" w:type="dxa"/>
            <w:gridSpan w:val="2"/>
          </w:tcPr>
          <w:p w14:paraId="34B33961" w14:textId="77777777" w:rsidR="00D34B55" w:rsidRPr="00176E21" w:rsidRDefault="00D34B55" w:rsidP="003168E5">
            <w:pPr>
              <w:spacing w:after="160" w:line="278" w:lineRule="auto"/>
            </w:pPr>
            <w:r>
              <w:rPr>
                <w:b/>
                <w:bCs/>
              </w:rPr>
              <w:t>Suggested approaches could be…</w:t>
            </w:r>
          </w:p>
          <w:p w14:paraId="4AA791C6" w14:textId="77777777" w:rsidR="00D34B55" w:rsidRPr="00333E8E" w:rsidRDefault="00D34B55" w:rsidP="00D34B55">
            <w:pPr>
              <w:numPr>
                <w:ilvl w:val="0"/>
                <w:numId w:val="39"/>
              </w:numPr>
              <w:spacing w:after="160" w:line="278" w:lineRule="auto"/>
            </w:pPr>
            <w:r w:rsidRPr="00333E8E">
              <w:t xml:space="preserve">Make unwritten expectations </w:t>
            </w:r>
            <w:r w:rsidRPr="00333E8E">
              <w:rPr>
                <w:b/>
                <w:bCs/>
              </w:rPr>
              <w:t>explicit and optional</w:t>
            </w:r>
            <w:r w:rsidRPr="00333E8E">
              <w:t>, not moralised</w:t>
            </w:r>
          </w:p>
          <w:p w14:paraId="1990285B" w14:textId="77777777" w:rsidR="00D34B55" w:rsidRPr="00333E8E" w:rsidRDefault="00D34B55" w:rsidP="00D34B55">
            <w:pPr>
              <w:numPr>
                <w:ilvl w:val="0"/>
                <w:numId w:val="39"/>
              </w:numPr>
              <w:spacing w:after="160" w:line="278" w:lineRule="auto"/>
            </w:pPr>
            <w:r w:rsidRPr="00333E8E">
              <w:t xml:space="preserve">Distinguish clearly between </w:t>
            </w:r>
            <w:r w:rsidRPr="00333E8E">
              <w:rPr>
                <w:b/>
                <w:bCs/>
              </w:rPr>
              <w:t>professional requirements</w:t>
            </w:r>
            <w:r w:rsidRPr="00333E8E">
              <w:t xml:space="preserve"> and social preference</w:t>
            </w:r>
          </w:p>
          <w:p w14:paraId="4A68F337" w14:textId="77777777" w:rsidR="00D34B55" w:rsidRPr="00333E8E" w:rsidRDefault="00D34B55" w:rsidP="00D34B55">
            <w:pPr>
              <w:numPr>
                <w:ilvl w:val="0"/>
                <w:numId w:val="39"/>
              </w:numPr>
              <w:spacing w:after="160" w:line="278" w:lineRule="auto"/>
            </w:pPr>
            <w:r w:rsidRPr="00333E8E">
              <w:t>Offer models, scripts or examples of professional communication</w:t>
            </w:r>
          </w:p>
          <w:p w14:paraId="37475BC0" w14:textId="77777777" w:rsidR="00D34B55" w:rsidRPr="00333E8E" w:rsidRDefault="00D34B55" w:rsidP="00D34B55">
            <w:pPr>
              <w:numPr>
                <w:ilvl w:val="0"/>
                <w:numId w:val="39"/>
              </w:numPr>
              <w:spacing w:after="160" w:line="278" w:lineRule="auto"/>
            </w:pPr>
            <w:r w:rsidRPr="00333E8E">
              <w:t>Reaffirm that competence is demonstrated through practice, not personality</w:t>
            </w:r>
          </w:p>
          <w:p w14:paraId="44C44F8F" w14:textId="77777777" w:rsidR="00D34B55" w:rsidRDefault="00D34B55" w:rsidP="00D34B55">
            <w:pPr>
              <w:ind w:left="360"/>
              <w:rPr>
                <w:b/>
                <w:bCs/>
              </w:rPr>
            </w:pPr>
          </w:p>
        </w:tc>
      </w:tr>
    </w:tbl>
    <w:p w14:paraId="0EE1D892" w14:textId="77777777" w:rsidR="00A81E33" w:rsidRDefault="00A81E33" w:rsidP="0068651A"/>
    <w:p w14:paraId="49E5AB77" w14:textId="77777777" w:rsidR="00A81E33" w:rsidRDefault="00A81E33" w:rsidP="0068651A">
      <w:r w:rsidRPr="00494EB4">
        <w:rPr>
          <w:b/>
          <w:bCs/>
          <w:color w:val="3A7C22" w:themeColor="accent6" w:themeShade="BF"/>
        </w:rPr>
        <w:t>Application</w:t>
      </w:r>
      <w:r w:rsidRPr="00494EB4">
        <w:rPr>
          <w:color w:val="3A7C22" w:themeColor="accent6" w:themeShade="BF"/>
        </w:rPr>
        <w:t xml:space="preserve"> </w:t>
      </w:r>
      <w:r>
        <w:t>-</w:t>
      </w:r>
      <w:r w:rsidRPr="00175967">
        <w:rPr>
          <w:i/>
          <w:iCs/>
        </w:rPr>
        <w:t xml:space="preserve"> How do you make professional expectations explicit without framing difference as a deficit?</w:t>
      </w:r>
    </w:p>
    <w:p w14:paraId="1F5F308B" w14:textId="77777777" w:rsidR="00E17819" w:rsidRDefault="00E17819" w:rsidP="0068651A">
      <w:pPr>
        <w:rPr>
          <w:b/>
          <w:bCs/>
        </w:rPr>
      </w:pPr>
    </w:p>
    <w:p w14:paraId="2B9DD8A4" w14:textId="31CCF852" w:rsidR="0068651A" w:rsidRDefault="0068651A" w:rsidP="0068651A">
      <w:r w:rsidRPr="0068651A">
        <w:rPr>
          <w:b/>
          <w:bCs/>
          <w:color w:val="3A7C22" w:themeColor="accent6" w:themeShade="BF"/>
        </w:rPr>
        <w:lastRenderedPageBreak/>
        <w:t>Case study 3</w:t>
      </w:r>
      <w:r w:rsidRPr="0068651A">
        <w:br/>
      </w:r>
      <w:r w:rsidR="00D96702" w:rsidRPr="00D96702">
        <w:t>Sophie is an ECT teaching Reception. In mentoring meetings with her induction tutor, Mark, she is consistently positive and reassures him that she is coping well. She completes tasks on time and rarely raises concerns. Midway through the term, Sophie asks for an urgent meeting and explains that she feels exhausted, overwhelmed and is struggling to sleep. She describes spending significant time worrying about whether she is “doing things right” and admits she has been afraid to ask for help.</w:t>
      </w:r>
    </w:p>
    <w:p w14:paraId="1081DF2B" w14:textId="08053CE4" w:rsidR="00E35698" w:rsidRPr="0068651A" w:rsidRDefault="00E35698" w:rsidP="00E35698">
      <w:pPr>
        <w:rPr>
          <w:i/>
          <w:iCs/>
        </w:rPr>
      </w:pPr>
      <w:r w:rsidRPr="00494EB4">
        <w:rPr>
          <w:b/>
          <w:bCs/>
          <w:color w:val="3A7C22" w:themeColor="accent6" w:themeShade="BF"/>
        </w:rPr>
        <w:t>Reflect</w:t>
      </w:r>
      <w:r w:rsidRPr="00494EB4">
        <w:rPr>
          <w:color w:val="3A7C22" w:themeColor="accent6" w:themeShade="BF"/>
        </w:rPr>
        <w:t xml:space="preserve"> </w:t>
      </w:r>
      <w:r>
        <w:t xml:space="preserve">– </w:t>
      </w:r>
      <w:r w:rsidR="0050701E" w:rsidRPr="00E7500F">
        <w:rPr>
          <w:i/>
          <w:iCs/>
        </w:rPr>
        <w:t>How might the ECT be managing uncertainty or stress in ways that are not immediately visible?</w:t>
      </w:r>
    </w:p>
    <w:p w14:paraId="615B204D" w14:textId="77777777" w:rsidR="00E35698" w:rsidRDefault="00E35698" w:rsidP="00E35698">
      <w:pPr>
        <w:rPr>
          <w:b/>
          <w:bCs/>
        </w:rPr>
      </w:pPr>
      <w:r>
        <w:rPr>
          <w:b/>
          <w:bCs/>
          <w:noProof/>
        </w:rPr>
        <mc:AlternateContent>
          <mc:Choice Requires="wps">
            <w:drawing>
              <wp:anchor distT="0" distB="0" distL="114300" distR="114300" simplePos="0" relativeHeight="251663360" behindDoc="0" locked="0" layoutInCell="1" allowOverlap="1" wp14:anchorId="2E0D78E0" wp14:editId="55E2F713">
                <wp:simplePos x="0" y="0"/>
                <wp:positionH relativeFrom="margin">
                  <wp:align>left</wp:align>
                </wp:positionH>
                <wp:positionV relativeFrom="paragraph">
                  <wp:posOffset>64120</wp:posOffset>
                </wp:positionV>
                <wp:extent cx="5624623" cy="1722474"/>
                <wp:effectExtent l="0" t="0" r="14605" b="11430"/>
                <wp:wrapNone/>
                <wp:docPr id="1030407811" name="Rectangle: Rounded Corners 1"/>
                <wp:cNvGraphicFramePr/>
                <a:graphic xmlns:a="http://schemas.openxmlformats.org/drawingml/2006/main">
                  <a:graphicData uri="http://schemas.microsoft.com/office/word/2010/wordprocessingShape">
                    <wps:wsp>
                      <wps:cNvSpPr/>
                      <wps:spPr>
                        <a:xfrm>
                          <a:off x="0" y="0"/>
                          <a:ext cx="5624623" cy="1722474"/>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16A1E4" id="Rectangle: Rounded Corners 1" o:spid="_x0000_s1026" style="position:absolute;margin-left:0;margin-top:5.05pt;width:442.9pt;height:135.65pt;z-index:251663360;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" fillcolor="white [3201]" strokecolor="#196b24 [3206]" strokeweight="1pt">
                <v:stroke joinstyle="miter"/>
                <w10:wrap anchorx="margin"/>
              </v:roundrect>
            </w:pict>
          </mc:Fallback>
        </mc:AlternateContent>
      </w:r>
    </w:p>
    <w:p w14:paraId="7FF32633" w14:textId="77777777" w:rsidR="00E35698" w:rsidRDefault="00E35698" w:rsidP="00E35698">
      <w:pPr>
        <w:rPr>
          <w:b/>
          <w:bCs/>
        </w:rPr>
      </w:pPr>
    </w:p>
    <w:p w14:paraId="6F07923B" w14:textId="77777777" w:rsidR="00E35698" w:rsidRDefault="00E35698" w:rsidP="0068651A"/>
    <w:p w14:paraId="31CFBE92" w14:textId="77777777" w:rsidR="00E35698" w:rsidRDefault="00E35698" w:rsidP="0068651A"/>
    <w:p w14:paraId="5C544333" w14:textId="77777777" w:rsidR="00E35698" w:rsidRDefault="00E35698" w:rsidP="0068651A"/>
    <w:p w14:paraId="14844CD1" w14:textId="77777777" w:rsidR="00E35698" w:rsidRDefault="00E35698" w:rsidP="0068651A"/>
    <w:tbl>
      <w:tblPr>
        <w:tblStyle w:val="TableGrid"/>
        <w:tblW w:w="0" w:type="auto"/>
        <w:tblLook w:val="04A0" w:firstRow="1" w:lastRow="0" w:firstColumn="1" w:lastColumn="0" w:noHBand="0" w:noVBand="1"/>
      </w:tblPr>
      <w:tblGrid>
        <w:gridCol w:w="4508"/>
        <w:gridCol w:w="4508"/>
      </w:tblGrid>
      <w:tr w:rsidR="00236472" w14:paraId="4B8BE2AE" w14:textId="77777777" w:rsidTr="003168E5">
        <w:tc>
          <w:tcPr>
            <w:tcW w:w="4508" w:type="dxa"/>
            <w:shd w:val="clear" w:color="auto" w:fill="D9F2D0" w:themeFill="accent6" w:themeFillTint="33"/>
          </w:tcPr>
          <w:p w14:paraId="280A0378" w14:textId="77777777" w:rsidR="00236472" w:rsidRDefault="00236472" w:rsidP="003168E5">
            <w:pPr>
              <w:rPr>
                <w:b/>
                <w:bCs/>
              </w:rPr>
            </w:pPr>
            <w:r w:rsidRPr="0068651A">
              <w:rPr>
                <w:b/>
                <w:bCs/>
              </w:rPr>
              <w:t>The</w:t>
            </w:r>
            <w:r>
              <w:rPr>
                <w:b/>
                <w:bCs/>
              </w:rPr>
              <w:t xml:space="preserve"> mentoring pitfall</w:t>
            </w:r>
          </w:p>
          <w:p w14:paraId="2DBA6A95" w14:textId="77777777" w:rsidR="00E17819" w:rsidRDefault="00E17819" w:rsidP="003168E5">
            <w:pPr>
              <w:rPr>
                <w:b/>
                <w:bCs/>
              </w:rPr>
            </w:pPr>
          </w:p>
        </w:tc>
        <w:tc>
          <w:tcPr>
            <w:tcW w:w="4508" w:type="dxa"/>
            <w:shd w:val="clear" w:color="auto" w:fill="D9F2D0" w:themeFill="accent6" w:themeFillTint="33"/>
          </w:tcPr>
          <w:p w14:paraId="6397A46D" w14:textId="77777777" w:rsidR="00236472" w:rsidRDefault="00236472" w:rsidP="003168E5">
            <w:pPr>
              <w:rPr>
                <w:b/>
                <w:bCs/>
              </w:rPr>
            </w:pPr>
            <w:r w:rsidRPr="0068651A">
              <w:rPr>
                <w:b/>
                <w:bCs/>
              </w:rPr>
              <w:t>Why it matters</w:t>
            </w:r>
          </w:p>
        </w:tc>
      </w:tr>
      <w:tr w:rsidR="00236472" w14:paraId="7B0FBE14" w14:textId="77777777" w:rsidTr="003168E5">
        <w:tc>
          <w:tcPr>
            <w:tcW w:w="4508" w:type="dxa"/>
          </w:tcPr>
          <w:p w14:paraId="50841B6E" w14:textId="67479B7E" w:rsidR="00236472" w:rsidRDefault="00236472" w:rsidP="003168E5">
            <w:pPr>
              <w:rPr>
                <w:b/>
                <w:bCs/>
              </w:rPr>
            </w:pPr>
            <w:proofErr w:type="gramStart"/>
            <w:r w:rsidRPr="0068651A">
              <w:t>Assuming that</w:t>
            </w:r>
            <w:proofErr w:type="gramEnd"/>
            <w:r w:rsidRPr="0068651A">
              <w:t xml:space="preserve"> the absence of expressed difficulty indicates coping or sustainability.</w:t>
            </w:r>
          </w:p>
        </w:tc>
        <w:tc>
          <w:tcPr>
            <w:tcW w:w="4508" w:type="dxa"/>
          </w:tcPr>
          <w:p w14:paraId="35363158" w14:textId="19512886" w:rsidR="00236472" w:rsidRDefault="00236472" w:rsidP="00236472">
            <w:pPr>
              <w:rPr>
                <w:b/>
                <w:bCs/>
              </w:rPr>
            </w:pPr>
            <w:r w:rsidRPr="0068651A">
              <w:t>Some ECTs expend significant energy masking uncertainty or stress, which may delay help-seeking and increase burnout risk.</w:t>
            </w:r>
            <w:r>
              <w:rPr>
                <w:b/>
                <w:bCs/>
              </w:rPr>
              <w:t xml:space="preserve"> </w:t>
            </w:r>
            <w:r w:rsidRPr="006A7DC2">
              <w:t>It is likely in this scenario the ECT is</w:t>
            </w:r>
            <w:r>
              <w:rPr>
                <w:b/>
                <w:bCs/>
              </w:rPr>
              <w:t xml:space="preserve"> </w:t>
            </w:r>
            <w:r w:rsidRPr="0068651A">
              <w:rPr>
                <w:b/>
                <w:bCs/>
              </w:rPr>
              <w:t>masking for confidence</w:t>
            </w:r>
            <w:r>
              <w:rPr>
                <w:b/>
                <w:bCs/>
              </w:rPr>
              <w:t>.</w:t>
            </w:r>
          </w:p>
        </w:tc>
      </w:tr>
      <w:tr w:rsidR="00236472" w14:paraId="21D1C4C4" w14:textId="77777777" w:rsidTr="003168E5">
        <w:tc>
          <w:tcPr>
            <w:tcW w:w="9016" w:type="dxa"/>
            <w:gridSpan w:val="2"/>
          </w:tcPr>
          <w:p w14:paraId="25FBFF8D" w14:textId="77777777" w:rsidR="00236472" w:rsidRPr="00176E21" w:rsidRDefault="00236472" w:rsidP="003168E5">
            <w:pPr>
              <w:spacing w:after="160" w:line="278" w:lineRule="auto"/>
            </w:pPr>
            <w:r>
              <w:rPr>
                <w:b/>
                <w:bCs/>
              </w:rPr>
              <w:t>Suggested approaches could be…</w:t>
            </w:r>
          </w:p>
          <w:p w14:paraId="7D95BFEC" w14:textId="77777777" w:rsidR="00236472" w:rsidRPr="00103BBF" w:rsidRDefault="00236472" w:rsidP="00236472">
            <w:pPr>
              <w:numPr>
                <w:ilvl w:val="0"/>
                <w:numId w:val="39"/>
              </w:numPr>
              <w:spacing w:after="160" w:line="278" w:lineRule="auto"/>
            </w:pPr>
            <w:r w:rsidRPr="00103BBF">
              <w:t xml:space="preserve">Normalise uncertainty by routinely asking </w:t>
            </w:r>
            <w:r w:rsidRPr="00103BBF">
              <w:rPr>
                <w:b/>
                <w:bCs/>
              </w:rPr>
              <w:t>specific reflective questions</w:t>
            </w:r>
          </w:p>
          <w:p w14:paraId="74F0CD26" w14:textId="77777777" w:rsidR="00236472" w:rsidRPr="00103BBF" w:rsidRDefault="00236472" w:rsidP="00236472">
            <w:pPr>
              <w:numPr>
                <w:ilvl w:val="0"/>
                <w:numId w:val="39"/>
              </w:numPr>
              <w:spacing w:after="160" w:line="278" w:lineRule="auto"/>
            </w:pPr>
            <w:r w:rsidRPr="00103BBF">
              <w:t xml:space="preserve">Build in </w:t>
            </w:r>
            <w:r w:rsidRPr="00103BBF">
              <w:rPr>
                <w:b/>
                <w:bCs/>
              </w:rPr>
              <w:t>regular check-ins</w:t>
            </w:r>
            <w:r w:rsidRPr="00103BBF">
              <w:t xml:space="preserve"> focused on sustainability, not just performance</w:t>
            </w:r>
          </w:p>
          <w:p w14:paraId="54FB13EE" w14:textId="77777777" w:rsidR="00236472" w:rsidRPr="00103BBF" w:rsidRDefault="00236472" w:rsidP="00236472">
            <w:pPr>
              <w:numPr>
                <w:ilvl w:val="0"/>
                <w:numId w:val="39"/>
              </w:numPr>
              <w:spacing w:after="160" w:line="278" w:lineRule="auto"/>
            </w:pPr>
            <w:r w:rsidRPr="00103BBF">
              <w:t>Pay attention to changes in energy, behaviour or engagement over time</w:t>
            </w:r>
          </w:p>
          <w:p w14:paraId="73B27F7D" w14:textId="5419251A" w:rsidR="00236472" w:rsidRPr="00236472" w:rsidRDefault="00236472" w:rsidP="00236472">
            <w:pPr>
              <w:numPr>
                <w:ilvl w:val="0"/>
                <w:numId w:val="39"/>
              </w:numPr>
              <w:spacing w:after="160" w:line="278" w:lineRule="auto"/>
            </w:pPr>
            <w:r w:rsidRPr="00103BBF">
              <w:t>Emphasise that raising concerns early is a professional strength, not a weakness</w:t>
            </w:r>
          </w:p>
        </w:tc>
      </w:tr>
    </w:tbl>
    <w:p w14:paraId="6378C391" w14:textId="77777777" w:rsidR="00236472" w:rsidRDefault="00236472" w:rsidP="0068651A"/>
    <w:p w14:paraId="59B23EA1" w14:textId="7E6EBAE8" w:rsidR="00236472" w:rsidRDefault="00236472" w:rsidP="0068651A">
      <w:r w:rsidRPr="00494EB4">
        <w:rPr>
          <w:b/>
          <w:bCs/>
          <w:color w:val="3A7C22" w:themeColor="accent6" w:themeShade="BF"/>
        </w:rPr>
        <w:t>Application</w:t>
      </w:r>
      <w:r w:rsidR="00381EEE" w:rsidRPr="00494EB4">
        <w:rPr>
          <w:b/>
          <w:bCs/>
          <w:color w:val="3A7C22" w:themeColor="accent6" w:themeShade="BF"/>
        </w:rPr>
        <w:t xml:space="preserve"> </w:t>
      </w:r>
      <w:r w:rsidR="00381EEE">
        <w:rPr>
          <w:b/>
          <w:bCs/>
        </w:rPr>
        <w:t>-</w:t>
      </w:r>
      <w:r w:rsidR="00381EEE" w:rsidRPr="00381EEE">
        <w:t xml:space="preserve"> </w:t>
      </w:r>
      <w:r w:rsidR="00381EEE" w:rsidRPr="00381EEE">
        <w:rPr>
          <w:i/>
          <w:iCs/>
        </w:rPr>
        <w:t>How do I routinely check for sustainability and psychological safety, not just surface confidence?</w:t>
      </w:r>
    </w:p>
    <w:p w14:paraId="3DA46DEF" w14:textId="77777777" w:rsidR="00236472" w:rsidRDefault="00236472" w:rsidP="0068651A"/>
    <w:p w14:paraId="53ADF667" w14:textId="77777777" w:rsidR="00236472" w:rsidRDefault="00236472" w:rsidP="0068651A"/>
    <w:p w14:paraId="75351DF6" w14:textId="77777777" w:rsidR="00E17819" w:rsidRDefault="00E17819" w:rsidP="0068651A"/>
    <w:p w14:paraId="1C8EFC47" w14:textId="719ED3ED" w:rsidR="000B192B" w:rsidRPr="00494EB4" w:rsidRDefault="0068651A" w:rsidP="0068651A">
      <w:pPr>
        <w:rPr>
          <w:color w:val="3A7C22" w:themeColor="accent6" w:themeShade="BF"/>
        </w:rPr>
      </w:pPr>
      <w:r w:rsidRPr="0068651A">
        <w:rPr>
          <w:b/>
          <w:bCs/>
          <w:color w:val="3A7C22" w:themeColor="accent6" w:themeShade="BF"/>
        </w:rPr>
        <w:lastRenderedPageBreak/>
        <w:t>Case study 4</w:t>
      </w:r>
    </w:p>
    <w:p w14:paraId="6EBA45A1" w14:textId="52C64D44" w:rsidR="0068651A" w:rsidRPr="0052048A" w:rsidRDefault="00EF4D48" w:rsidP="0068651A">
      <w:pPr>
        <w:rPr>
          <w:b/>
          <w:bCs/>
        </w:rPr>
      </w:pPr>
      <w:r w:rsidRPr="00EF4D48">
        <w:t>Liam is an ECT teaching Year 8 English. Following an observation, his mentor, Priya, encourages him to “be more adaptable in the moment” when pupils lose focus. Liam leaves the meeting unsure what this looks like in practice. In subsequent lessons, he hesitates when behaviour dips, unsure which strategies to prioritise. His confidence decreases, and Priya notices that Liam appears anxious during observations.</w:t>
      </w:r>
    </w:p>
    <w:p w14:paraId="5FB01339" w14:textId="6C88D350" w:rsidR="00EF4D48" w:rsidRDefault="00EF4D48" w:rsidP="00EF4D48">
      <w:r w:rsidRPr="00494EB4">
        <w:rPr>
          <w:b/>
          <w:bCs/>
          <w:color w:val="3A7C22" w:themeColor="accent6" w:themeShade="BF"/>
        </w:rPr>
        <w:t>Reflect</w:t>
      </w:r>
      <w:r w:rsidRPr="00494EB4">
        <w:rPr>
          <w:color w:val="3A7C22" w:themeColor="accent6" w:themeShade="BF"/>
        </w:rPr>
        <w:t xml:space="preserve"> </w:t>
      </w:r>
      <w:r>
        <w:t>–</w:t>
      </w:r>
      <w:r w:rsidR="005134CC">
        <w:t xml:space="preserve"> </w:t>
      </w:r>
      <w:r w:rsidR="000B371D" w:rsidRPr="000B371D">
        <w:rPr>
          <w:i/>
          <w:iCs/>
        </w:rPr>
        <w:t>How could abstract or ambiguous targets be increasing uncertainty or anxiety for the ECT?</w:t>
      </w:r>
    </w:p>
    <w:p w14:paraId="13AE692C" w14:textId="20A408D9" w:rsidR="00EF4D48" w:rsidRDefault="00EF4D48" w:rsidP="00EF4D48">
      <w:r>
        <w:rPr>
          <w:b/>
          <w:bCs/>
          <w:noProof/>
        </w:rPr>
        <mc:AlternateContent>
          <mc:Choice Requires="wps">
            <w:drawing>
              <wp:anchor distT="0" distB="0" distL="114300" distR="114300" simplePos="0" relativeHeight="251665408" behindDoc="0" locked="0" layoutInCell="1" allowOverlap="1" wp14:anchorId="466E063D" wp14:editId="6DA415B7">
                <wp:simplePos x="0" y="0"/>
                <wp:positionH relativeFrom="margin">
                  <wp:posOffset>-85060</wp:posOffset>
                </wp:positionH>
                <wp:positionV relativeFrom="paragraph">
                  <wp:posOffset>98218</wp:posOffset>
                </wp:positionV>
                <wp:extent cx="5624623" cy="1722474"/>
                <wp:effectExtent l="0" t="0" r="14605" b="11430"/>
                <wp:wrapNone/>
                <wp:docPr id="1626207825" name="Rectangle: Rounded Corners 1"/>
                <wp:cNvGraphicFramePr/>
                <a:graphic xmlns:a="http://schemas.openxmlformats.org/drawingml/2006/main">
                  <a:graphicData uri="http://schemas.microsoft.com/office/word/2010/wordprocessingShape">
                    <wps:wsp>
                      <wps:cNvSpPr/>
                      <wps:spPr>
                        <a:xfrm>
                          <a:off x="0" y="0"/>
                          <a:ext cx="5624623" cy="1722474"/>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8595D21" id="Rectangle: Rounded Corners 1" o:spid="_x0000_s1026" style="position:absolute;margin-left:-6.7pt;margin-top:7.75pt;width:442.9pt;height:135.65pt;z-index:25166540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" fillcolor="white [3201]" strokecolor="#196b24 [3206]" strokeweight="1pt">
                <v:stroke joinstyle="miter"/>
                <w10:wrap anchorx="margin"/>
              </v:roundrect>
            </w:pict>
          </mc:Fallback>
        </mc:AlternateContent>
      </w:r>
    </w:p>
    <w:p w14:paraId="5F8C8FF3" w14:textId="399F33C3" w:rsidR="00EF4D48" w:rsidRDefault="00EF4D48" w:rsidP="00EF4D48"/>
    <w:p w14:paraId="47859100" w14:textId="1D447C0D" w:rsidR="00EF4D48" w:rsidRDefault="00EF4D48" w:rsidP="00EF4D48"/>
    <w:p w14:paraId="4CD996AB" w14:textId="77777777" w:rsidR="00EF4D48" w:rsidRPr="0068651A" w:rsidRDefault="00EF4D48" w:rsidP="00EF4D48"/>
    <w:p w14:paraId="00DE6B18" w14:textId="5CB4D6DF" w:rsidR="00EF4D48" w:rsidRDefault="00EF4D48" w:rsidP="00EF4D48">
      <w:pPr>
        <w:rPr>
          <w:b/>
          <w:bCs/>
        </w:rPr>
      </w:pPr>
    </w:p>
    <w:p w14:paraId="6FBF3515" w14:textId="77777777" w:rsidR="00EF4D48" w:rsidRDefault="00EF4D48" w:rsidP="00EF4D48">
      <w:pPr>
        <w:rPr>
          <w:b/>
          <w:bCs/>
        </w:rPr>
      </w:pPr>
    </w:p>
    <w:p w14:paraId="5C3FA7E5" w14:textId="77777777" w:rsidR="00EF4D48" w:rsidRPr="0068651A" w:rsidRDefault="00EF4D48" w:rsidP="0068651A"/>
    <w:tbl>
      <w:tblPr>
        <w:tblStyle w:val="TableGrid"/>
        <w:tblW w:w="0" w:type="auto"/>
        <w:tblLook w:val="04A0" w:firstRow="1" w:lastRow="0" w:firstColumn="1" w:lastColumn="0" w:noHBand="0" w:noVBand="1"/>
      </w:tblPr>
      <w:tblGrid>
        <w:gridCol w:w="4508"/>
        <w:gridCol w:w="4508"/>
      </w:tblGrid>
      <w:tr w:rsidR="000B371D" w14:paraId="5BCAD709" w14:textId="77777777" w:rsidTr="003168E5">
        <w:tc>
          <w:tcPr>
            <w:tcW w:w="4508" w:type="dxa"/>
            <w:shd w:val="clear" w:color="auto" w:fill="D9F2D0" w:themeFill="accent6" w:themeFillTint="33"/>
          </w:tcPr>
          <w:p w14:paraId="15B54188" w14:textId="77777777" w:rsidR="000B371D" w:rsidRDefault="000B371D" w:rsidP="003168E5">
            <w:pPr>
              <w:rPr>
                <w:b/>
                <w:bCs/>
              </w:rPr>
            </w:pPr>
            <w:r w:rsidRPr="0068651A">
              <w:rPr>
                <w:b/>
                <w:bCs/>
              </w:rPr>
              <w:t>The</w:t>
            </w:r>
            <w:r>
              <w:rPr>
                <w:b/>
                <w:bCs/>
              </w:rPr>
              <w:t xml:space="preserve"> mentoring pitfall</w:t>
            </w:r>
          </w:p>
          <w:p w14:paraId="6761244E" w14:textId="77777777" w:rsidR="00E17819" w:rsidRDefault="00E17819" w:rsidP="003168E5">
            <w:pPr>
              <w:rPr>
                <w:b/>
                <w:bCs/>
              </w:rPr>
            </w:pPr>
          </w:p>
        </w:tc>
        <w:tc>
          <w:tcPr>
            <w:tcW w:w="4508" w:type="dxa"/>
            <w:shd w:val="clear" w:color="auto" w:fill="D9F2D0" w:themeFill="accent6" w:themeFillTint="33"/>
          </w:tcPr>
          <w:p w14:paraId="14BAC2AB" w14:textId="77777777" w:rsidR="000B371D" w:rsidRDefault="000B371D" w:rsidP="003168E5">
            <w:pPr>
              <w:rPr>
                <w:b/>
                <w:bCs/>
              </w:rPr>
            </w:pPr>
            <w:r w:rsidRPr="0068651A">
              <w:rPr>
                <w:b/>
                <w:bCs/>
              </w:rPr>
              <w:t>Why it matters</w:t>
            </w:r>
          </w:p>
        </w:tc>
      </w:tr>
      <w:tr w:rsidR="000B371D" w14:paraId="526D4123" w14:textId="77777777" w:rsidTr="003168E5">
        <w:tc>
          <w:tcPr>
            <w:tcW w:w="4508" w:type="dxa"/>
          </w:tcPr>
          <w:p w14:paraId="0FA867F6" w14:textId="46C5570A" w:rsidR="000B371D" w:rsidRDefault="00C070F5" w:rsidP="003168E5">
            <w:pPr>
              <w:rPr>
                <w:b/>
                <w:bCs/>
              </w:rPr>
            </w:pPr>
            <w:r w:rsidRPr="0068651A">
              <w:t>Using abstract or value-laden targets without breaking them into observable, teachable components.</w:t>
            </w:r>
          </w:p>
        </w:tc>
        <w:tc>
          <w:tcPr>
            <w:tcW w:w="4508" w:type="dxa"/>
          </w:tcPr>
          <w:p w14:paraId="10F82ACC" w14:textId="77777777" w:rsidR="00C070F5" w:rsidRDefault="00C070F5" w:rsidP="00C070F5">
            <w:r w:rsidRPr="0068651A">
              <w:t>Vague targets increase ambiguity and anxiety, making progress harder to secure despite clear intent.</w:t>
            </w:r>
            <w:r>
              <w:t xml:space="preserve"> It is likely the ECT is becoming cognitively overwhelmed by an </w:t>
            </w:r>
            <w:r w:rsidRPr="00652690">
              <w:rPr>
                <w:b/>
                <w:bCs/>
              </w:rPr>
              <w:t>overgeneralised target</w:t>
            </w:r>
            <w:r>
              <w:t>.</w:t>
            </w:r>
          </w:p>
          <w:p w14:paraId="4AA90D3A" w14:textId="6A3867EF" w:rsidR="000B371D" w:rsidRDefault="000B371D" w:rsidP="003168E5">
            <w:pPr>
              <w:rPr>
                <w:b/>
                <w:bCs/>
              </w:rPr>
            </w:pPr>
          </w:p>
        </w:tc>
      </w:tr>
      <w:tr w:rsidR="000B371D" w14:paraId="2B710080" w14:textId="77777777" w:rsidTr="003168E5">
        <w:tc>
          <w:tcPr>
            <w:tcW w:w="9016" w:type="dxa"/>
            <w:gridSpan w:val="2"/>
          </w:tcPr>
          <w:p w14:paraId="4468B81A" w14:textId="77777777" w:rsidR="000B371D" w:rsidRPr="00176E21" w:rsidRDefault="000B371D" w:rsidP="003168E5">
            <w:pPr>
              <w:spacing w:after="160" w:line="278" w:lineRule="auto"/>
            </w:pPr>
            <w:r>
              <w:rPr>
                <w:b/>
                <w:bCs/>
              </w:rPr>
              <w:t>Suggested approaches could be…</w:t>
            </w:r>
          </w:p>
          <w:p w14:paraId="0DE2B9E8" w14:textId="77777777" w:rsidR="00C070F5" w:rsidRPr="00103BBF" w:rsidRDefault="00C070F5" w:rsidP="00C070F5">
            <w:pPr>
              <w:numPr>
                <w:ilvl w:val="0"/>
                <w:numId w:val="39"/>
              </w:numPr>
              <w:spacing w:after="160" w:line="278" w:lineRule="auto"/>
            </w:pPr>
            <w:r w:rsidRPr="00103BBF">
              <w:t xml:space="preserve">Translate abstract goals into </w:t>
            </w:r>
            <w:r w:rsidRPr="00103BBF">
              <w:rPr>
                <w:b/>
                <w:bCs/>
              </w:rPr>
              <w:t>observable, teachable behaviours</w:t>
            </w:r>
          </w:p>
          <w:p w14:paraId="4E029EF8" w14:textId="77777777" w:rsidR="00C070F5" w:rsidRPr="00103BBF" w:rsidRDefault="00C070F5" w:rsidP="00C070F5">
            <w:pPr>
              <w:numPr>
                <w:ilvl w:val="0"/>
                <w:numId w:val="39"/>
              </w:numPr>
              <w:spacing w:after="160" w:line="278" w:lineRule="auto"/>
            </w:pPr>
            <w:r w:rsidRPr="00103BBF">
              <w:t>Use concrete language (what to say, do, notice, or plan)</w:t>
            </w:r>
          </w:p>
          <w:p w14:paraId="559977F2" w14:textId="77777777" w:rsidR="00C070F5" w:rsidRPr="00103BBF" w:rsidRDefault="00C070F5" w:rsidP="00C070F5">
            <w:pPr>
              <w:numPr>
                <w:ilvl w:val="0"/>
                <w:numId w:val="39"/>
              </w:numPr>
              <w:spacing w:after="160" w:line="278" w:lineRule="auto"/>
            </w:pPr>
            <w:r w:rsidRPr="00103BBF">
              <w:t>Model strategies explicitly and rehearse where appropriate</w:t>
            </w:r>
          </w:p>
          <w:p w14:paraId="44F94FA3" w14:textId="1DCEF872" w:rsidR="000B371D" w:rsidRPr="00236472" w:rsidRDefault="00C070F5" w:rsidP="00C070F5">
            <w:pPr>
              <w:numPr>
                <w:ilvl w:val="0"/>
                <w:numId w:val="39"/>
              </w:numPr>
              <w:spacing w:after="160" w:line="278" w:lineRule="auto"/>
            </w:pPr>
            <w:r w:rsidRPr="00103BBF">
              <w:t xml:space="preserve">Check that targets feel </w:t>
            </w:r>
            <w:r w:rsidRPr="00103BBF">
              <w:rPr>
                <w:b/>
                <w:bCs/>
              </w:rPr>
              <w:t>clear and actionable</w:t>
            </w:r>
            <w:r w:rsidRPr="00103BBF">
              <w:t>, not aspirational</w:t>
            </w:r>
          </w:p>
        </w:tc>
      </w:tr>
    </w:tbl>
    <w:p w14:paraId="054812E4" w14:textId="77777777" w:rsidR="00C070F5" w:rsidRDefault="00C070F5" w:rsidP="0068651A">
      <w:pPr>
        <w:rPr>
          <w:b/>
          <w:bCs/>
        </w:rPr>
      </w:pPr>
    </w:p>
    <w:p w14:paraId="532D2290" w14:textId="530424DB" w:rsidR="000B371D" w:rsidRPr="005768DB" w:rsidRDefault="00C070F5" w:rsidP="0068651A">
      <w:pPr>
        <w:rPr>
          <w:i/>
          <w:iCs/>
        </w:rPr>
      </w:pPr>
      <w:r w:rsidRPr="00494EB4">
        <w:rPr>
          <w:b/>
          <w:bCs/>
          <w:color w:val="3A7C22" w:themeColor="accent6" w:themeShade="BF"/>
        </w:rPr>
        <w:t>Application</w:t>
      </w:r>
      <w:r w:rsidR="005768DB" w:rsidRPr="00494EB4">
        <w:rPr>
          <w:b/>
          <w:bCs/>
          <w:color w:val="3A7C22" w:themeColor="accent6" w:themeShade="BF"/>
        </w:rPr>
        <w:t xml:space="preserve"> </w:t>
      </w:r>
      <w:r w:rsidR="005768DB" w:rsidRPr="005768DB">
        <w:rPr>
          <w:b/>
          <w:bCs/>
          <w:i/>
          <w:iCs/>
        </w:rPr>
        <w:t xml:space="preserve">- </w:t>
      </w:r>
      <w:r w:rsidR="005768DB" w:rsidRPr="005768DB">
        <w:rPr>
          <w:i/>
          <w:iCs/>
        </w:rPr>
        <w:t>How do I translate broad goals into clear, observable and teachable actions?</w:t>
      </w:r>
    </w:p>
    <w:p w14:paraId="14CAEB4E" w14:textId="77777777" w:rsidR="000B371D" w:rsidRDefault="000B371D" w:rsidP="0068651A">
      <w:pPr>
        <w:rPr>
          <w:b/>
          <w:bCs/>
        </w:rPr>
      </w:pPr>
    </w:p>
    <w:p w14:paraId="0968F8CA" w14:textId="77777777" w:rsidR="000B371D" w:rsidRDefault="000B371D" w:rsidP="0068651A">
      <w:pPr>
        <w:rPr>
          <w:b/>
          <w:bCs/>
        </w:rPr>
      </w:pPr>
    </w:p>
    <w:p w14:paraId="72024A2F" w14:textId="77777777" w:rsidR="000B192B" w:rsidRPr="00494EB4" w:rsidRDefault="0068651A" w:rsidP="0068651A">
      <w:pPr>
        <w:rPr>
          <w:b/>
          <w:bCs/>
          <w:color w:val="3A7C22" w:themeColor="accent6" w:themeShade="BF"/>
        </w:rPr>
      </w:pPr>
      <w:r w:rsidRPr="0068651A">
        <w:rPr>
          <w:b/>
          <w:bCs/>
          <w:color w:val="3A7C22" w:themeColor="accent6" w:themeShade="BF"/>
        </w:rPr>
        <w:lastRenderedPageBreak/>
        <w:t>Case study 5</w:t>
      </w:r>
    </w:p>
    <w:p w14:paraId="5F4420BD" w14:textId="1F21E2B0" w:rsidR="005264C5" w:rsidRPr="000B192B" w:rsidRDefault="005264C5" w:rsidP="0068651A">
      <w:pPr>
        <w:rPr>
          <w:b/>
          <w:bCs/>
        </w:rPr>
      </w:pPr>
      <w:r w:rsidRPr="005264C5">
        <w:t>Aisha is an ECT teaching Year 3. She has shared with her induction tutor, Ben, that she finds change difficult and feels anxious about unexpected events. Wanting to support her wellbeing, Ben avoids giving challenging feedback, shields Aisha from leading assemblies, and delays her involvement in parents’ evenings. While Aisha feels temporarily reassured, she later expresses concern that she is “falling behind” compared to other ECTs and feels unprepared for increased responsibility.</w:t>
      </w:r>
    </w:p>
    <w:p w14:paraId="224F6696" w14:textId="7910B203" w:rsidR="005264C5" w:rsidRDefault="005264C5" w:rsidP="005264C5">
      <w:r w:rsidRPr="00494EB4">
        <w:rPr>
          <w:b/>
          <w:bCs/>
          <w:color w:val="3A7C22" w:themeColor="accent6" w:themeShade="BF"/>
        </w:rPr>
        <w:t>Reflect</w:t>
      </w:r>
      <w:r w:rsidRPr="00494EB4">
        <w:rPr>
          <w:color w:val="3A7C22" w:themeColor="accent6" w:themeShade="BF"/>
        </w:rPr>
        <w:t xml:space="preserve"> </w:t>
      </w:r>
      <w:r>
        <w:t xml:space="preserve">– </w:t>
      </w:r>
      <w:r w:rsidR="004C5588" w:rsidRPr="000B192B">
        <w:rPr>
          <w:i/>
          <w:iCs/>
        </w:rPr>
        <w:t>How might well-intended support be limiting opportunities for professional growth or independence?</w:t>
      </w:r>
    </w:p>
    <w:p w14:paraId="5B1F445C" w14:textId="77777777" w:rsidR="005264C5" w:rsidRDefault="005264C5" w:rsidP="005264C5">
      <w:r>
        <w:rPr>
          <w:b/>
          <w:bCs/>
          <w:noProof/>
        </w:rPr>
        <mc:AlternateContent>
          <mc:Choice Requires="wps">
            <w:drawing>
              <wp:anchor distT="0" distB="0" distL="114300" distR="114300" simplePos="0" relativeHeight="251667456" behindDoc="0" locked="0" layoutInCell="1" allowOverlap="1" wp14:anchorId="036E3E28" wp14:editId="3753457F">
                <wp:simplePos x="0" y="0"/>
                <wp:positionH relativeFrom="margin">
                  <wp:posOffset>-85060</wp:posOffset>
                </wp:positionH>
                <wp:positionV relativeFrom="paragraph">
                  <wp:posOffset>98218</wp:posOffset>
                </wp:positionV>
                <wp:extent cx="5624623" cy="1722474"/>
                <wp:effectExtent l="0" t="0" r="14605" b="11430"/>
                <wp:wrapNone/>
                <wp:docPr id="369969297" name="Rectangle: Rounded Corners 1"/>
                <wp:cNvGraphicFramePr/>
                <a:graphic xmlns:a="http://schemas.openxmlformats.org/drawingml/2006/main">
                  <a:graphicData uri="http://schemas.microsoft.com/office/word/2010/wordprocessingShape">
                    <wps:wsp>
                      <wps:cNvSpPr/>
                      <wps:spPr>
                        <a:xfrm>
                          <a:off x="0" y="0"/>
                          <a:ext cx="5624623" cy="1722474"/>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56334D" id="Rectangle: Rounded Corners 1" o:spid="_x0000_s1026" style="position:absolute;margin-left:-6.7pt;margin-top:7.75pt;width:442.9pt;height:135.65pt;z-index:2516674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" fillcolor="white [3201]" strokecolor="#196b24 [3206]" strokeweight="1pt">
                <v:stroke joinstyle="miter"/>
                <w10:wrap anchorx="margin"/>
              </v:roundrect>
            </w:pict>
          </mc:Fallback>
        </mc:AlternateContent>
      </w:r>
    </w:p>
    <w:p w14:paraId="598E5C48" w14:textId="77777777" w:rsidR="005264C5" w:rsidRDefault="005264C5" w:rsidP="005264C5"/>
    <w:p w14:paraId="45770E59" w14:textId="77777777" w:rsidR="005264C5" w:rsidRDefault="005264C5" w:rsidP="005264C5"/>
    <w:p w14:paraId="2257DFB3" w14:textId="77777777" w:rsidR="005264C5" w:rsidRDefault="005264C5" w:rsidP="0068651A"/>
    <w:p w14:paraId="0F7C5A78" w14:textId="77777777" w:rsidR="005264C5" w:rsidRDefault="005264C5" w:rsidP="0068651A"/>
    <w:p w14:paraId="1F2A0DE3" w14:textId="77777777" w:rsidR="005264C5" w:rsidRDefault="005264C5" w:rsidP="0068651A"/>
    <w:p w14:paraId="25B90B82" w14:textId="77777777" w:rsidR="004C5588" w:rsidRDefault="004C5588" w:rsidP="0068651A"/>
    <w:tbl>
      <w:tblPr>
        <w:tblStyle w:val="TableGrid"/>
        <w:tblW w:w="0" w:type="auto"/>
        <w:tblLook w:val="04A0" w:firstRow="1" w:lastRow="0" w:firstColumn="1" w:lastColumn="0" w:noHBand="0" w:noVBand="1"/>
      </w:tblPr>
      <w:tblGrid>
        <w:gridCol w:w="4508"/>
        <w:gridCol w:w="4508"/>
      </w:tblGrid>
      <w:tr w:rsidR="004C5588" w14:paraId="67EB801E" w14:textId="77777777" w:rsidTr="003168E5">
        <w:tc>
          <w:tcPr>
            <w:tcW w:w="4508" w:type="dxa"/>
            <w:shd w:val="clear" w:color="auto" w:fill="D9F2D0" w:themeFill="accent6" w:themeFillTint="33"/>
          </w:tcPr>
          <w:p w14:paraId="400BA4BD" w14:textId="77777777" w:rsidR="004C5588" w:rsidRDefault="004C5588" w:rsidP="003168E5">
            <w:pPr>
              <w:rPr>
                <w:b/>
                <w:bCs/>
              </w:rPr>
            </w:pPr>
            <w:r w:rsidRPr="0068651A">
              <w:rPr>
                <w:b/>
                <w:bCs/>
              </w:rPr>
              <w:t>The</w:t>
            </w:r>
            <w:r>
              <w:rPr>
                <w:b/>
                <w:bCs/>
              </w:rPr>
              <w:t xml:space="preserve"> mentoring pitfall</w:t>
            </w:r>
          </w:p>
          <w:p w14:paraId="366F58F4" w14:textId="77777777" w:rsidR="00E17819" w:rsidRDefault="00E17819" w:rsidP="003168E5">
            <w:pPr>
              <w:rPr>
                <w:b/>
                <w:bCs/>
              </w:rPr>
            </w:pPr>
          </w:p>
        </w:tc>
        <w:tc>
          <w:tcPr>
            <w:tcW w:w="4508" w:type="dxa"/>
            <w:shd w:val="clear" w:color="auto" w:fill="D9F2D0" w:themeFill="accent6" w:themeFillTint="33"/>
          </w:tcPr>
          <w:p w14:paraId="68B44C99" w14:textId="77777777" w:rsidR="004C5588" w:rsidRDefault="004C5588" w:rsidP="003168E5">
            <w:pPr>
              <w:rPr>
                <w:b/>
                <w:bCs/>
              </w:rPr>
            </w:pPr>
            <w:r w:rsidRPr="0068651A">
              <w:rPr>
                <w:b/>
                <w:bCs/>
              </w:rPr>
              <w:t>Why it matters</w:t>
            </w:r>
          </w:p>
        </w:tc>
      </w:tr>
      <w:tr w:rsidR="004C5588" w14:paraId="5AA32445" w14:textId="77777777" w:rsidTr="003168E5">
        <w:tc>
          <w:tcPr>
            <w:tcW w:w="4508" w:type="dxa"/>
          </w:tcPr>
          <w:p w14:paraId="509EE660" w14:textId="341E76BD" w:rsidR="004C5588" w:rsidRDefault="004C5588" w:rsidP="003168E5">
            <w:pPr>
              <w:rPr>
                <w:b/>
                <w:bCs/>
              </w:rPr>
            </w:pPr>
            <w:r w:rsidRPr="0068651A">
              <w:t>Confusing support with protection, resulting in lowered professional challenge.</w:t>
            </w:r>
          </w:p>
        </w:tc>
        <w:tc>
          <w:tcPr>
            <w:tcW w:w="4508" w:type="dxa"/>
          </w:tcPr>
          <w:p w14:paraId="34A28A5F" w14:textId="44EDE16D" w:rsidR="004C5588" w:rsidRDefault="004C5588" w:rsidP="004C5588">
            <w:pPr>
              <w:rPr>
                <w:b/>
                <w:bCs/>
              </w:rPr>
            </w:pPr>
            <w:r w:rsidRPr="0068651A">
              <w:t>This can unintentionally undermine independence, confidence and progress</w:t>
            </w:r>
            <w:r>
              <w:t xml:space="preserve"> for the ECT. In this scenario it may be the ECT has experienced </w:t>
            </w:r>
            <w:r w:rsidRPr="000348AD">
              <w:rPr>
                <w:b/>
                <w:bCs/>
              </w:rPr>
              <w:t>over-protective mentoring.</w:t>
            </w:r>
          </w:p>
        </w:tc>
      </w:tr>
      <w:tr w:rsidR="004C5588" w14:paraId="48957FA4" w14:textId="77777777" w:rsidTr="003168E5">
        <w:tc>
          <w:tcPr>
            <w:tcW w:w="9016" w:type="dxa"/>
            <w:gridSpan w:val="2"/>
          </w:tcPr>
          <w:p w14:paraId="3FB34907" w14:textId="77777777" w:rsidR="004C5588" w:rsidRPr="00176E21" w:rsidRDefault="004C5588" w:rsidP="003168E5">
            <w:pPr>
              <w:spacing w:after="160" w:line="278" w:lineRule="auto"/>
            </w:pPr>
            <w:r>
              <w:rPr>
                <w:b/>
                <w:bCs/>
              </w:rPr>
              <w:t>Suggested approaches could be…</w:t>
            </w:r>
          </w:p>
          <w:p w14:paraId="7765CDBC" w14:textId="77777777" w:rsidR="004C5588" w:rsidRPr="000253C8" w:rsidRDefault="004C5588" w:rsidP="004C5588">
            <w:pPr>
              <w:numPr>
                <w:ilvl w:val="0"/>
                <w:numId w:val="39"/>
              </w:numPr>
              <w:spacing w:after="160" w:line="278" w:lineRule="auto"/>
            </w:pPr>
            <w:r w:rsidRPr="000253C8">
              <w:t xml:space="preserve">Maintain </w:t>
            </w:r>
            <w:r w:rsidRPr="000253C8">
              <w:rPr>
                <w:b/>
                <w:bCs/>
              </w:rPr>
              <w:t>high expectations</w:t>
            </w:r>
            <w:r w:rsidRPr="000253C8">
              <w:t xml:space="preserve"> while adjusting </w:t>
            </w:r>
            <w:r w:rsidRPr="000253C8">
              <w:rPr>
                <w:i/>
                <w:iCs/>
              </w:rPr>
              <w:t>how</w:t>
            </w:r>
            <w:r w:rsidRPr="000253C8">
              <w:t xml:space="preserve"> support is provided</w:t>
            </w:r>
          </w:p>
          <w:p w14:paraId="179292D8" w14:textId="77777777" w:rsidR="004C5588" w:rsidRPr="000253C8" w:rsidRDefault="004C5588" w:rsidP="004C5588">
            <w:pPr>
              <w:numPr>
                <w:ilvl w:val="0"/>
                <w:numId w:val="39"/>
              </w:numPr>
              <w:spacing w:after="160" w:line="278" w:lineRule="auto"/>
            </w:pPr>
            <w:r w:rsidRPr="000253C8">
              <w:t>Offer structured preparation for challenge rather than avoiding it</w:t>
            </w:r>
          </w:p>
          <w:p w14:paraId="6D183185" w14:textId="77777777" w:rsidR="004C5588" w:rsidRPr="000253C8" w:rsidRDefault="004C5588" w:rsidP="004C5588">
            <w:pPr>
              <w:numPr>
                <w:ilvl w:val="0"/>
                <w:numId w:val="39"/>
              </w:numPr>
              <w:spacing w:after="160" w:line="278" w:lineRule="auto"/>
            </w:pPr>
            <w:r w:rsidRPr="000253C8">
              <w:t>Frame stretch opportunities as planned professional learning</w:t>
            </w:r>
          </w:p>
          <w:p w14:paraId="7FF72D65" w14:textId="30C3B5CC" w:rsidR="004C5588" w:rsidRPr="00236472" w:rsidRDefault="004C5588" w:rsidP="004C5588">
            <w:pPr>
              <w:numPr>
                <w:ilvl w:val="0"/>
                <w:numId w:val="39"/>
              </w:numPr>
              <w:spacing w:after="160" w:line="278" w:lineRule="auto"/>
            </w:pPr>
            <w:r w:rsidRPr="000253C8">
              <w:t>Gradually reduce scaffolding as routines and confidence embed</w:t>
            </w:r>
          </w:p>
        </w:tc>
      </w:tr>
    </w:tbl>
    <w:p w14:paraId="23E77D15" w14:textId="77777777" w:rsidR="005264C5" w:rsidRDefault="005264C5" w:rsidP="0068651A"/>
    <w:p w14:paraId="3F13864B" w14:textId="0ADA2CD3" w:rsidR="004C5588" w:rsidRDefault="004C5588" w:rsidP="0068651A">
      <w:pPr>
        <w:rPr>
          <w:b/>
          <w:bCs/>
        </w:rPr>
      </w:pPr>
      <w:r w:rsidRPr="00494EB4">
        <w:rPr>
          <w:b/>
          <w:bCs/>
          <w:color w:val="3A7C22" w:themeColor="accent6" w:themeShade="BF"/>
        </w:rPr>
        <w:t>Application</w:t>
      </w:r>
      <w:r w:rsidR="000B192B" w:rsidRPr="00494EB4">
        <w:rPr>
          <w:b/>
          <w:bCs/>
          <w:color w:val="3A7C22" w:themeColor="accent6" w:themeShade="BF"/>
        </w:rPr>
        <w:t xml:space="preserve"> </w:t>
      </w:r>
      <w:r w:rsidR="000B192B">
        <w:rPr>
          <w:b/>
          <w:bCs/>
        </w:rPr>
        <w:t xml:space="preserve">- </w:t>
      </w:r>
      <w:r w:rsidR="000B192B" w:rsidRPr="000B192B">
        <w:rPr>
          <w:i/>
          <w:iCs/>
        </w:rPr>
        <w:t>How do I maintain high expectations while adjusting the pathway and level of scaffolding?</w:t>
      </w:r>
    </w:p>
    <w:p w14:paraId="6D521322" w14:textId="77777777" w:rsidR="004C5588" w:rsidRDefault="004C5588" w:rsidP="0068651A">
      <w:pPr>
        <w:rPr>
          <w:b/>
          <w:bCs/>
        </w:rPr>
      </w:pPr>
    </w:p>
    <w:p w14:paraId="369AEBED" w14:textId="77777777" w:rsidR="004C5588" w:rsidRDefault="004C5588" w:rsidP="0068651A">
      <w:pPr>
        <w:rPr>
          <w:b/>
          <w:bCs/>
        </w:rPr>
      </w:pPr>
    </w:p>
    <w:p w14:paraId="0AD7CE88" w14:textId="49EC6438" w:rsidR="004273F7" w:rsidRPr="000B192B" w:rsidRDefault="0068651A" w:rsidP="0068651A">
      <w:pPr>
        <w:rPr>
          <w:b/>
          <w:bCs/>
        </w:rPr>
      </w:pPr>
      <w:r w:rsidRPr="0068651A">
        <w:rPr>
          <w:b/>
          <w:bCs/>
          <w:color w:val="3A7C22" w:themeColor="accent6" w:themeShade="BF"/>
        </w:rPr>
        <w:lastRenderedPageBreak/>
        <w:t xml:space="preserve">Case study 6 </w:t>
      </w:r>
      <w:r w:rsidRPr="0068651A">
        <w:br/>
      </w:r>
      <w:r w:rsidR="00061FB8" w:rsidRPr="00061FB8">
        <w:t>Ethan is an ECT teaching secondary history. Early in induction, his mentor, Claire, introduces highly structured mentoring meetings, written agendas and reduced targets to support Ethan’s organisation. These adjustments work well, but they are never formally reviewed. By the end of the year, Ethan feels dependent on the structure and becomes anxious when routines vary, unsure whether expectations have changed or whether he is expected to manage more independently.</w:t>
      </w:r>
    </w:p>
    <w:p w14:paraId="054CCAF7" w14:textId="4C633480" w:rsidR="004273F7" w:rsidRDefault="004273F7" w:rsidP="004273F7">
      <w:r w:rsidRPr="00494EB4">
        <w:rPr>
          <w:b/>
          <w:bCs/>
          <w:color w:val="3A7C22" w:themeColor="accent6" w:themeShade="BF"/>
        </w:rPr>
        <w:t>Reflect</w:t>
      </w:r>
      <w:r w:rsidRPr="00494EB4">
        <w:rPr>
          <w:color w:val="3A7C22" w:themeColor="accent6" w:themeShade="BF"/>
        </w:rPr>
        <w:t xml:space="preserve"> </w:t>
      </w:r>
      <w:r>
        <w:t xml:space="preserve">– </w:t>
      </w:r>
      <w:r w:rsidR="00D21EA5" w:rsidRPr="00D21EA5">
        <w:rPr>
          <w:i/>
          <w:iCs/>
        </w:rPr>
        <w:t>How might fixed adjustments be shaping the ECT’s confidence, independence or reliance on structure?</w:t>
      </w:r>
    </w:p>
    <w:p w14:paraId="6E131EE6" w14:textId="77777777" w:rsidR="004273F7" w:rsidRDefault="004273F7" w:rsidP="004273F7">
      <w:r>
        <w:rPr>
          <w:b/>
          <w:bCs/>
          <w:noProof/>
        </w:rPr>
        <mc:AlternateContent>
          <mc:Choice Requires="wps">
            <w:drawing>
              <wp:anchor distT="0" distB="0" distL="114300" distR="114300" simplePos="0" relativeHeight="251669504" behindDoc="0" locked="0" layoutInCell="1" allowOverlap="1" wp14:anchorId="70E1E853" wp14:editId="259AB0DD">
                <wp:simplePos x="0" y="0"/>
                <wp:positionH relativeFrom="margin">
                  <wp:posOffset>-85060</wp:posOffset>
                </wp:positionH>
                <wp:positionV relativeFrom="paragraph">
                  <wp:posOffset>98218</wp:posOffset>
                </wp:positionV>
                <wp:extent cx="5624623" cy="1722474"/>
                <wp:effectExtent l="0" t="0" r="14605" b="11430"/>
                <wp:wrapNone/>
                <wp:docPr id="337475501" name="Rectangle: Rounded Corners 1"/>
                <wp:cNvGraphicFramePr/>
                <a:graphic xmlns:a="http://schemas.openxmlformats.org/drawingml/2006/main">
                  <a:graphicData uri="http://schemas.microsoft.com/office/word/2010/wordprocessingShape">
                    <wps:wsp>
                      <wps:cNvSpPr/>
                      <wps:spPr>
                        <a:xfrm>
                          <a:off x="0" y="0"/>
                          <a:ext cx="5624623" cy="1722474"/>
                        </a:xfrm>
                        <a:prstGeom prst="round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03B3C6" id="Rectangle: Rounded Corners 1" o:spid="_x0000_s1026" style="position:absolute;margin-left:-6.7pt;margin-top:7.75pt;width:442.9pt;height:135.65pt;z-index:25166950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" fillcolor="white [3201]" strokecolor="#196b24 [3206]" strokeweight="1pt">
                <v:stroke joinstyle="miter"/>
                <w10:wrap anchorx="margin"/>
              </v:roundrect>
            </w:pict>
          </mc:Fallback>
        </mc:AlternateContent>
      </w:r>
    </w:p>
    <w:p w14:paraId="6E954E18" w14:textId="77777777" w:rsidR="004273F7" w:rsidRDefault="004273F7" w:rsidP="004273F7"/>
    <w:p w14:paraId="1086BBA3" w14:textId="77777777" w:rsidR="004273F7" w:rsidRDefault="004273F7" w:rsidP="0068651A"/>
    <w:p w14:paraId="71446A95" w14:textId="77777777" w:rsidR="004273F7" w:rsidRDefault="004273F7" w:rsidP="0068651A"/>
    <w:p w14:paraId="3A74C2AB" w14:textId="77777777" w:rsidR="004273F7" w:rsidRDefault="004273F7" w:rsidP="0068651A"/>
    <w:p w14:paraId="605821F5" w14:textId="77777777" w:rsidR="004273F7" w:rsidRDefault="004273F7" w:rsidP="0068651A"/>
    <w:p w14:paraId="4B50C310" w14:textId="77777777" w:rsidR="00D21EA5" w:rsidRPr="0068651A" w:rsidRDefault="00D21EA5" w:rsidP="0068651A"/>
    <w:tbl>
      <w:tblPr>
        <w:tblStyle w:val="TableGrid"/>
        <w:tblW w:w="0" w:type="auto"/>
        <w:tblLook w:val="04A0" w:firstRow="1" w:lastRow="0" w:firstColumn="1" w:lastColumn="0" w:noHBand="0" w:noVBand="1"/>
      </w:tblPr>
      <w:tblGrid>
        <w:gridCol w:w="4508"/>
        <w:gridCol w:w="4508"/>
      </w:tblGrid>
      <w:tr w:rsidR="00D21EA5" w14:paraId="04257637" w14:textId="77777777" w:rsidTr="003168E5">
        <w:tc>
          <w:tcPr>
            <w:tcW w:w="4508" w:type="dxa"/>
            <w:shd w:val="clear" w:color="auto" w:fill="D9F2D0" w:themeFill="accent6" w:themeFillTint="33"/>
          </w:tcPr>
          <w:p w14:paraId="53059DF9" w14:textId="77777777" w:rsidR="00D21EA5" w:rsidRDefault="00D21EA5" w:rsidP="003168E5">
            <w:pPr>
              <w:rPr>
                <w:b/>
                <w:bCs/>
              </w:rPr>
            </w:pPr>
            <w:r w:rsidRPr="0068651A">
              <w:rPr>
                <w:b/>
                <w:bCs/>
              </w:rPr>
              <w:t>The</w:t>
            </w:r>
            <w:r>
              <w:rPr>
                <w:b/>
                <w:bCs/>
              </w:rPr>
              <w:t xml:space="preserve"> mentoring pitfall</w:t>
            </w:r>
          </w:p>
          <w:p w14:paraId="574E76B9" w14:textId="77777777" w:rsidR="00E17819" w:rsidRDefault="00E17819" w:rsidP="003168E5">
            <w:pPr>
              <w:rPr>
                <w:b/>
                <w:bCs/>
              </w:rPr>
            </w:pPr>
          </w:p>
        </w:tc>
        <w:tc>
          <w:tcPr>
            <w:tcW w:w="4508" w:type="dxa"/>
            <w:shd w:val="clear" w:color="auto" w:fill="D9F2D0" w:themeFill="accent6" w:themeFillTint="33"/>
          </w:tcPr>
          <w:p w14:paraId="782D7D1B" w14:textId="77777777" w:rsidR="00D21EA5" w:rsidRDefault="00D21EA5" w:rsidP="003168E5">
            <w:pPr>
              <w:rPr>
                <w:b/>
                <w:bCs/>
              </w:rPr>
            </w:pPr>
            <w:r w:rsidRPr="0068651A">
              <w:rPr>
                <w:b/>
                <w:bCs/>
              </w:rPr>
              <w:t>Why it matters</w:t>
            </w:r>
          </w:p>
        </w:tc>
      </w:tr>
      <w:tr w:rsidR="00D21EA5" w14:paraId="66D749CB" w14:textId="77777777" w:rsidTr="003168E5">
        <w:tc>
          <w:tcPr>
            <w:tcW w:w="4508" w:type="dxa"/>
          </w:tcPr>
          <w:p w14:paraId="2C34C3C5" w14:textId="707F9543" w:rsidR="00D21EA5" w:rsidRDefault="00D21EA5" w:rsidP="003168E5">
            <w:pPr>
              <w:rPr>
                <w:b/>
                <w:bCs/>
              </w:rPr>
            </w:pPr>
            <w:r w:rsidRPr="0068651A">
              <w:t>Failing to use an assess–plan–do–review cycle to evaluate impact and promote gradual independence.</w:t>
            </w:r>
          </w:p>
        </w:tc>
        <w:tc>
          <w:tcPr>
            <w:tcW w:w="4508" w:type="dxa"/>
          </w:tcPr>
          <w:p w14:paraId="7F472159" w14:textId="1759D511" w:rsidR="00D21EA5" w:rsidRDefault="00D21EA5" w:rsidP="003168E5">
            <w:pPr>
              <w:rPr>
                <w:b/>
                <w:bCs/>
              </w:rPr>
            </w:pPr>
            <w:r w:rsidRPr="0068651A">
              <w:t>Support should evolve as routines embed, ensuring adjustments remain enabling rather than limiting.</w:t>
            </w:r>
            <w:r>
              <w:t xml:space="preserve"> It is likely in this scenario that the mentor thinks of </w:t>
            </w:r>
            <w:r w:rsidRPr="000348AD">
              <w:rPr>
                <w:b/>
                <w:bCs/>
              </w:rPr>
              <w:t>adjustments as permanent and fixed.</w:t>
            </w:r>
          </w:p>
        </w:tc>
      </w:tr>
      <w:tr w:rsidR="00D21EA5" w14:paraId="04C32F88" w14:textId="77777777" w:rsidTr="003168E5">
        <w:tc>
          <w:tcPr>
            <w:tcW w:w="9016" w:type="dxa"/>
            <w:gridSpan w:val="2"/>
          </w:tcPr>
          <w:p w14:paraId="6C36D154" w14:textId="77777777" w:rsidR="00D21EA5" w:rsidRPr="00176E21" w:rsidRDefault="00D21EA5" w:rsidP="003168E5">
            <w:pPr>
              <w:spacing w:after="160" w:line="278" w:lineRule="auto"/>
            </w:pPr>
            <w:r>
              <w:rPr>
                <w:b/>
                <w:bCs/>
              </w:rPr>
              <w:t>Suggested approaches could be…</w:t>
            </w:r>
          </w:p>
          <w:p w14:paraId="208D5B8B" w14:textId="77777777" w:rsidR="00D21EA5" w:rsidRPr="000253C8" w:rsidRDefault="00D21EA5" w:rsidP="00D21EA5">
            <w:pPr>
              <w:numPr>
                <w:ilvl w:val="0"/>
                <w:numId w:val="39"/>
              </w:numPr>
              <w:spacing w:after="160" w:line="278" w:lineRule="auto"/>
            </w:pPr>
            <w:r w:rsidRPr="000253C8">
              <w:t xml:space="preserve">Agree adjustments with a </w:t>
            </w:r>
            <w:r w:rsidRPr="000253C8">
              <w:rPr>
                <w:b/>
                <w:bCs/>
              </w:rPr>
              <w:t>clear purpose and review point</w:t>
            </w:r>
          </w:p>
          <w:p w14:paraId="69FDB5B1" w14:textId="77777777" w:rsidR="00D21EA5" w:rsidRPr="000253C8" w:rsidRDefault="00D21EA5" w:rsidP="00D21EA5">
            <w:pPr>
              <w:numPr>
                <w:ilvl w:val="0"/>
                <w:numId w:val="39"/>
              </w:numPr>
              <w:spacing w:after="160" w:line="278" w:lineRule="auto"/>
            </w:pPr>
            <w:r w:rsidRPr="000253C8">
              <w:t xml:space="preserve">Use an </w:t>
            </w:r>
            <w:r w:rsidRPr="000253C8">
              <w:rPr>
                <w:b/>
                <w:bCs/>
              </w:rPr>
              <w:t>assess–plan–do–review</w:t>
            </w:r>
            <w:r w:rsidRPr="000253C8">
              <w:t xml:space="preserve"> cycle to evaluate impact</w:t>
            </w:r>
          </w:p>
          <w:p w14:paraId="45302B1B" w14:textId="77777777" w:rsidR="00D21EA5" w:rsidRPr="000253C8" w:rsidRDefault="00D21EA5" w:rsidP="00D21EA5">
            <w:pPr>
              <w:numPr>
                <w:ilvl w:val="0"/>
                <w:numId w:val="39"/>
              </w:numPr>
              <w:spacing w:after="160" w:line="278" w:lineRule="auto"/>
            </w:pPr>
            <w:r w:rsidRPr="000253C8">
              <w:t>Discuss openly how support may evolve over time</w:t>
            </w:r>
          </w:p>
          <w:p w14:paraId="06DDC45F" w14:textId="305B4092" w:rsidR="00D21EA5" w:rsidRPr="00236472" w:rsidRDefault="00D21EA5" w:rsidP="00D21EA5">
            <w:pPr>
              <w:numPr>
                <w:ilvl w:val="0"/>
                <w:numId w:val="39"/>
              </w:numPr>
              <w:spacing w:after="160" w:line="278" w:lineRule="auto"/>
            </w:pPr>
            <w:r w:rsidRPr="000253C8">
              <w:t>Focus on building independence and professional agency</w:t>
            </w:r>
          </w:p>
        </w:tc>
      </w:tr>
    </w:tbl>
    <w:p w14:paraId="7598E5F1" w14:textId="198A3985" w:rsidR="0068651A" w:rsidRPr="0068651A" w:rsidRDefault="0068651A" w:rsidP="00D21EA5">
      <w:pPr>
        <w:rPr>
          <w:b/>
          <w:bCs/>
        </w:rPr>
      </w:pPr>
    </w:p>
    <w:p w14:paraId="724EF87F" w14:textId="3F89DD83" w:rsidR="0068651A" w:rsidRPr="007E48A9" w:rsidRDefault="00D21EA5" w:rsidP="00505E3C">
      <w:pPr>
        <w:rPr>
          <w:i/>
          <w:iCs/>
        </w:rPr>
      </w:pPr>
      <w:r w:rsidRPr="00494EB4">
        <w:rPr>
          <w:b/>
          <w:bCs/>
          <w:color w:val="3A7C22" w:themeColor="accent6" w:themeShade="BF"/>
        </w:rPr>
        <w:t>Application</w:t>
      </w:r>
      <w:r w:rsidR="007E48A9" w:rsidRPr="00494EB4">
        <w:rPr>
          <w:b/>
          <w:bCs/>
          <w:color w:val="3A7C22" w:themeColor="accent6" w:themeShade="BF"/>
        </w:rPr>
        <w:t xml:space="preserve"> </w:t>
      </w:r>
      <w:r w:rsidR="007E48A9">
        <w:rPr>
          <w:b/>
          <w:bCs/>
        </w:rPr>
        <w:t xml:space="preserve">- </w:t>
      </w:r>
      <w:r w:rsidR="007E48A9" w:rsidRPr="007E48A9">
        <w:rPr>
          <w:i/>
          <w:iCs/>
        </w:rPr>
        <w:t>How do I review and adapt support using an assess–plan–do–review cycle over time?</w:t>
      </w:r>
    </w:p>
    <w:p w14:paraId="1024BB0C" w14:textId="77777777" w:rsidR="00505E3C" w:rsidRDefault="00505E3C"/>
    <w:p w14:paraId="6786EA06" w14:textId="77777777" w:rsidR="00505E3C" w:rsidRDefault="00505E3C"/>
    <w:sectPr w:rsidR="00505E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3F6C"/>
    <w:multiLevelType w:val="multilevel"/>
    <w:tmpl w:val="C34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C0BB2"/>
    <w:multiLevelType w:val="multilevel"/>
    <w:tmpl w:val="DB86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F35A7"/>
    <w:multiLevelType w:val="multilevel"/>
    <w:tmpl w:val="1D7C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F110C"/>
    <w:multiLevelType w:val="multilevel"/>
    <w:tmpl w:val="4A5AD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C60F8F"/>
    <w:multiLevelType w:val="hybridMultilevel"/>
    <w:tmpl w:val="484028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127BD"/>
    <w:multiLevelType w:val="multilevel"/>
    <w:tmpl w:val="65CA5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D483A"/>
    <w:multiLevelType w:val="multilevel"/>
    <w:tmpl w:val="5502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F0EE3"/>
    <w:multiLevelType w:val="multilevel"/>
    <w:tmpl w:val="77C2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C85098"/>
    <w:multiLevelType w:val="multilevel"/>
    <w:tmpl w:val="48601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EB7D35"/>
    <w:multiLevelType w:val="multilevel"/>
    <w:tmpl w:val="7D22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AB45F5"/>
    <w:multiLevelType w:val="multilevel"/>
    <w:tmpl w:val="1B0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F1AA8"/>
    <w:multiLevelType w:val="multilevel"/>
    <w:tmpl w:val="8F50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715EE6"/>
    <w:multiLevelType w:val="multilevel"/>
    <w:tmpl w:val="F5207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CF205A"/>
    <w:multiLevelType w:val="hybridMultilevel"/>
    <w:tmpl w:val="8D8464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EE3DD1"/>
    <w:multiLevelType w:val="multilevel"/>
    <w:tmpl w:val="9826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0063E3"/>
    <w:multiLevelType w:val="multilevel"/>
    <w:tmpl w:val="85F0E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241770"/>
    <w:multiLevelType w:val="multilevel"/>
    <w:tmpl w:val="9DE02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5D2134"/>
    <w:multiLevelType w:val="multilevel"/>
    <w:tmpl w:val="F9AC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C1112E"/>
    <w:multiLevelType w:val="multilevel"/>
    <w:tmpl w:val="7A4E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EC02C9"/>
    <w:multiLevelType w:val="multilevel"/>
    <w:tmpl w:val="F48A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1302F"/>
    <w:multiLevelType w:val="multilevel"/>
    <w:tmpl w:val="6A40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3765BE"/>
    <w:multiLevelType w:val="multilevel"/>
    <w:tmpl w:val="E6A8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7B2EBC"/>
    <w:multiLevelType w:val="multilevel"/>
    <w:tmpl w:val="1B2E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641C0"/>
    <w:multiLevelType w:val="multilevel"/>
    <w:tmpl w:val="3EB63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474553"/>
    <w:multiLevelType w:val="multilevel"/>
    <w:tmpl w:val="848E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B55405"/>
    <w:multiLevelType w:val="multilevel"/>
    <w:tmpl w:val="F05A6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5A686C"/>
    <w:multiLevelType w:val="multilevel"/>
    <w:tmpl w:val="A540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272C4E"/>
    <w:multiLevelType w:val="multilevel"/>
    <w:tmpl w:val="DD88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FA4753"/>
    <w:multiLevelType w:val="hybridMultilevel"/>
    <w:tmpl w:val="1C986A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8E1488"/>
    <w:multiLevelType w:val="hybridMultilevel"/>
    <w:tmpl w:val="9D52FC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F6341F"/>
    <w:multiLevelType w:val="multilevel"/>
    <w:tmpl w:val="7274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336095"/>
    <w:multiLevelType w:val="multilevel"/>
    <w:tmpl w:val="F6B8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E9283B"/>
    <w:multiLevelType w:val="multilevel"/>
    <w:tmpl w:val="1C38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D7290F"/>
    <w:multiLevelType w:val="hybridMultilevel"/>
    <w:tmpl w:val="BD12D9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FF1E62"/>
    <w:multiLevelType w:val="multilevel"/>
    <w:tmpl w:val="98E88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2006B8"/>
    <w:multiLevelType w:val="multilevel"/>
    <w:tmpl w:val="C604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6C54B5"/>
    <w:multiLevelType w:val="multilevel"/>
    <w:tmpl w:val="C420B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E12DD8"/>
    <w:multiLevelType w:val="multilevel"/>
    <w:tmpl w:val="F010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3E0174"/>
    <w:multiLevelType w:val="multilevel"/>
    <w:tmpl w:val="E5FE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33CF7"/>
    <w:multiLevelType w:val="multilevel"/>
    <w:tmpl w:val="38A2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F87D3D"/>
    <w:multiLevelType w:val="multilevel"/>
    <w:tmpl w:val="E54E6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676A5D"/>
    <w:multiLevelType w:val="multilevel"/>
    <w:tmpl w:val="623A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8C324F"/>
    <w:multiLevelType w:val="multilevel"/>
    <w:tmpl w:val="57AA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00D2B"/>
    <w:multiLevelType w:val="hybridMultilevel"/>
    <w:tmpl w:val="BEA41D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400740"/>
    <w:multiLevelType w:val="multilevel"/>
    <w:tmpl w:val="BB3A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B957B4"/>
    <w:multiLevelType w:val="multilevel"/>
    <w:tmpl w:val="95E0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DF6DEF"/>
    <w:multiLevelType w:val="multilevel"/>
    <w:tmpl w:val="8072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5224068">
    <w:abstractNumId w:val="5"/>
  </w:num>
  <w:num w:numId="2" w16cid:durableId="979845700">
    <w:abstractNumId w:val="7"/>
  </w:num>
  <w:num w:numId="3" w16cid:durableId="964890861">
    <w:abstractNumId w:val="41"/>
  </w:num>
  <w:num w:numId="4" w16cid:durableId="1486580913">
    <w:abstractNumId w:val="44"/>
  </w:num>
  <w:num w:numId="5" w16cid:durableId="822744644">
    <w:abstractNumId w:val="3"/>
  </w:num>
  <w:num w:numId="6" w16cid:durableId="930310982">
    <w:abstractNumId w:val="36"/>
  </w:num>
  <w:num w:numId="7" w16cid:durableId="425543832">
    <w:abstractNumId w:val="10"/>
  </w:num>
  <w:num w:numId="8" w16cid:durableId="486283325">
    <w:abstractNumId w:val="15"/>
  </w:num>
  <w:num w:numId="9" w16cid:durableId="1680229054">
    <w:abstractNumId w:val="0"/>
  </w:num>
  <w:num w:numId="10" w16cid:durableId="1336109602">
    <w:abstractNumId w:val="14"/>
  </w:num>
  <w:num w:numId="11" w16cid:durableId="1043141140">
    <w:abstractNumId w:val="39"/>
  </w:num>
  <w:num w:numId="12" w16cid:durableId="512189292">
    <w:abstractNumId w:val="16"/>
  </w:num>
  <w:num w:numId="13" w16cid:durableId="786847937">
    <w:abstractNumId w:val="2"/>
  </w:num>
  <w:num w:numId="14" w16cid:durableId="1405487492">
    <w:abstractNumId w:val="17"/>
  </w:num>
  <w:num w:numId="15" w16cid:durableId="935939006">
    <w:abstractNumId w:val="19"/>
  </w:num>
  <w:num w:numId="16" w16cid:durableId="907573093">
    <w:abstractNumId w:val="1"/>
  </w:num>
  <w:num w:numId="17" w16cid:durableId="1011755551">
    <w:abstractNumId w:val="23"/>
  </w:num>
  <w:num w:numId="18" w16cid:durableId="1271083541">
    <w:abstractNumId w:val="12"/>
  </w:num>
  <w:num w:numId="19" w16cid:durableId="647902960">
    <w:abstractNumId w:val="9"/>
  </w:num>
  <w:num w:numId="20" w16cid:durableId="285476178">
    <w:abstractNumId w:val="37"/>
  </w:num>
  <w:num w:numId="21" w16cid:durableId="1994917238">
    <w:abstractNumId w:val="31"/>
  </w:num>
  <w:num w:numId="22" w16cid:durableId="1176769156">
    <w:abstractNumId w:val="21"/>
  </w:num>
  <w:num w:numId="23" w16cid:durableId="1932617540">
    <w:abstractNumId w:val="42"/>
  </w:num>
  <w:num w:numId="24" w16cid:durableId="1927154520">
    <w:abstractNumId w:val="35"/>
  </w:num>
  <w:num w:numId="25" w16cid:durableId="905989263">
    <w:abstractNumId w:val="34"/>
  </w:num>
  <w:num w:numId="26" w16cid:durableId="1961371502">
    <w:abstractNumId w:val="30"/>
  </w:num>
  <w:num w:numId="27" w16cid:durableId="660354065">
    <w:abstractNumId w:val="32"/>
  </w:num>
  <w:num w:numId="28" w16cid:durableId="2080712277">
    <w:abstractNumId w:val="24"/>
  </w:num>
  <w:num w:numId="29" w16cid:durableId="1431509053">
    <w:abstractNumId w:val="20"/>
  </w:num>
  <w:num w:numId="30" w16cid:durableId="1989049316">
    <w:abstractNumId w:val="11"/>
  </w:num>
  <w:num w:numId="31" w16cid:durableId="170681633">
    <w:abstractNumId w:val="18"/>
  </w:num>
  <w:num w:numId="32" w16cid:durableId="1250238924">
    <w:abstractNumId w:val="45"/>
  </w:num>
  <w:num w:numId="33" w16cid:durableId="1443961550">
    <w:abstractNumId w:val="43"/>
  </w:num>
  <w:num w:numId="34" w16cid:durableId="1023820594">
    <w:abstractNumId w:val="13"/>
  </w:num>
  <w:num w:numId="35" w16cid:durableId="190842961">
    <w:abstractNumId w:val="28"/>
  </w:num>
  <w:num w:numId="36" w16cid:durableId="1335373118">
    <w:abstractNumId w:val="33"/>
  </w:num>
  <w:num w:numId="37" w16cid:durableId="222371444">
    <w:abstractNumId w:val="4"/>
  </w:num>
  <w:num w:numId="38" w16cid:durableId="298196621">
    <w:abstractNumId w:val="29"/>
  </w:num>
  <w:num w:numId="39" w16cid:durableId="1663123202">
    <w:abstractNumId w:val="46"/>
  </w:num>
  <w:num w:numId="40" w16cid:durableId="8914057">
    <w:abstractNumId w:val="25"/>
  </w:num>
  <w:num w:numId="41" w16cid:durableId="1883326687">
    <w:abstractNumId w:val="40"/>
  </w:num>
  <w:num w:numId="42" w16cid:durableId="19866646">
    <w:abstractNumId w:val="22"/>
  </w:num>
  <w:num w:numId="43" w16cid:durableId="1388527320">
    <w:abstractNumId w:val="26"/>
  </w:num>
  <w:num w:numId="44" w16cid:durableId="1122267297">
    <w:abstractNumId w:val="38"/>
  </w:num>
  <w:num w:numId="45" w16cid:durableId="1888565288">
    <w:abstractNumId w:val="8"/>
  </w:num>
  <w:num w:numId="46" w16cid:durableId="1651901835">
    <w:abstractNumId w:val="6"/>
  </w:num>
  <w:num w:numId="47" w16cid:durableId="175855266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0CB"/>
    <w:rsid w:val="00004CD4"/>
    <w:rsid w:val="00023DE3"/>
    <w:rsid w:val="000253C8"/>
    <w:rsid w:val="000255F9"/>
    <w:rsid w:val="000348AD"/>
    <w:rsid w:val="00061FB8"/>
    <w:rsid w:val="00076B18"/>
    <w:rsid w:val="00097CC8"/>
    <w:rsid w:val="000A55C6"/>
    <w:rsid w:val="000B192B"/>
    <w:rsid w:val="000B371D"/>
    <w:rsid w:val="000E40CB"/>
    <w:rsid w:val="000E4172"/>
    <w:rsid w:val="000F485E"/>
    <w:rsid w:val="00103BBF"/>
    <w:rsid w:val="00126F94"/>
    <w:rsid w:val="001532FA"/>
    <w:rsid w:val="00175967"/>
    <w:rsid w:val="00176E21"/>
    <w:rsid w:val="00197626"/>
    <w:rsid w:val="001A528F"/>
    <w:rsid w:val="001C13FC"/>
    <w:rsid w:val="001C4186"/>
    <w:rsid w:val="001D0A4E"/>
    <w:rsid w:val="001F6BA8"/>
    <w:rsid w:val="00221842"/>
    <w:rsid w:val="00230F6B"/>
    <w:rsid w:val="00236472"/>
    <w:rsid w:val="0026576F"/>
    <w:rsid w:val="0029677E"/>
    <w:rsid w:val="002C1D33"/>
    <w:rsid w:val="002C2D95"/>
    <w:rsid w:val="002F7597"/>
    <w:rsid w:val="00333E8E"/>
    <w:rsid w:val="003620F7"/>
    <w:rsid w:val="00381EEE"/>
    <w:rsid w:val="003D38C8"/>
    <w:rsid w:val="00417282"/>
    <w:rsid w:val="004273F7"/>
    <w:rsid w:val="0044250B"/>
    <w:rsid w:val="004457A1"/>
    <w:rsid w:val="004655FA"/>
    <w:rsid w:val="00484B11"/>
    <w:rsid w:val="00494EB4"/>
    <w:rsid w:val="004A2AF3"/>
    <w:rsid w:val="004B5186"/>
    <w:rsid w:val="004C5588"/>
    <w:rsid w:val="004D09EF"/>
    <w:rsid w:val="004E33D4"/>
    <w:rsid w:val="004F10CD"/>
    <w:rsid w:val="00505E3C"/>
    <w:rsid w:val="0050701E"/>
    <w:rsid w:val="005134CC"/>
    <w:rsid w:val="0052048A"/>
    <w:rsid w:val="005264C5"/>
    <w:rsid w:val="00547213"/>
    <w:rsid w:val="0057526A"/>
    <w:rsid w:val="005768DB"/>
    <w:rsid w:val="005803A0"/>
    <w:rsid w:val="00584DE7"/>
    <w:rsid w:val="00593F9E"/>
    <w:rsid w:val="00611B22"/>
    <w:rsid w:val="00652690"/>
    <w:rsid w:val="006712C4"/>
    <w:rsid w:val="0068651A"/>
    <w:rsid w:val="006A7DC2"/>
    <w:rsid w:val="006B4224"/>
    <w:rsid w:val="006C3293"/>
    <w:rsid w:val="006C45AC"/>
    <w:rsid w:val="006E5DCD"/>
    <w:rsid w:val="006F1F49"/>
    <w:rsid w:val="00722F7E"/>
    <w:rsid w:val="0072493A"/>
    <w:rsid w:val="0074354A"/>
    <w:rsid w:val="00745703"/>
    <w:rsid w:val="00757079"/>
    <w:rsid w:val="0079100C"/>
    <w:rsid w:val="007A27DD"/>
    <w:rsid w:val="007B51C1"/>
    <w:rsid w:val="007B7563"/>
    <w:rsid w:val="007C0F63"/>
    <w:rsid w:val="007E2DDD"/>
    <w:rsid w:val="007E48A9"/>
    <w:rsid w:val="008014C8"/>
    <w:rsid w:val="00816338"/>
    <w:rsid w:val="00834F58"/>
    <w:rsid w:val="00855733"/>
    <w:rsid w:val="008B2590"/>
    <w:rsid w:val="008C7E60"/>
    <w:rsid w:val="008D2873"/>
    <w:rsid w:val="00926799"/>
    <w:rsid w:val="009D55DD"/>
    <w:rsid w:val="00A01802"/>
    <w:rsid w:val="00A152DE"/>
    <w:rsid w:val="00A81E33"/>
    <w:rsid w:val="00AF2D0A"/>
    <w:rsid w:val="00B02B9C"/>
    <w:rsid w:val="00B11E52"/>
    <w:rsid w:val="00B21D4E"/>
    <w:rsid w:val="00B51A2D"/>
    <w:rsid w:val="00B65B83"/>
    <w:rsid w:val="00BB0880"/>
    <w:rsid w:val="00BB4432"/>
    <w:rsid w:val="00BD73AF"/>
    <w:rsid w:val="00BF6114"/>
    <w:rsid w:val="00C05689"/>
    <w:rsid w:val="00C070F5"/>
    <w:rsid w:val="00C75873"/>
    <w:rsid w:val="00D0760E"/>
    <w:rsid w:val="00D210BF"/>
    <w:rsid w:val="00D21582"/>
    <w:rsid w:val="00D21EA5"/>
    <w:rsid w:val="00D34B55"/>
    <w:rsid w:val="00D710C5"/>
    <w:rsid w:val="00D8047D"/>
    <w:rsid w:val="00D96702"/>
    <w:rsid w:val="00DA2335"/>
    <w:rsid w:val="00DB594A"/>
    <w:rsid w:val="00DC6A95"/>
    <w:rsid w:val="00DF50E0"/>
    <w:rsid w:val="00E12BD9"/>
    <w:rsid w:val="00E17819"/>
    <w:rsid w:val="00E344DC"/>
    <w:rsid w:val="00E35698"/>
    <w:rsid w:val="00E50E6F"/>
    <w:rsid w:val="00E7500F"/>
    <w:rsid w:val="00E75BD9"/>
    <w:rsid w:val="00E76BA6"/>
    <w:rsid w:val="00E933C0"/>
    <w:rsid w:val="00EA0DC3"/>
    <w:rsid w:val="00ED4B97"/>
    <w:rsid w:val="00EF4D48"/>
    <w:rsid w:val="00EF75C1"/>
    <w:rsid w:val="00F15602"/>
    <w:rsid w:val="00F21295"/>
    <w:rsid w:val="00F33CFE"/>
    <w:rsid w:val="00F7774F"/>
    <w:rsid w:val="00FD229F"/>
    <w:rsid w:val="00FE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81885"/>
  <w15:chartTrackingRefBased/>
  <w15:docId w15:val="{ABA62AC8-51EC-408B-9E3E-28010155E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0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0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0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0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0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0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0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0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0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0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0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0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0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0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0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0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0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0CB"/>
    <w:rPr>
      <w:rFonts w:eastAsiaTheme="majorEastAsia" w:cstheme="majorBidi"/>
      <w:color w:val="272727" w:themeColor="text1" w:themeTint="D8"/>
    </w:rPr>
  </w:style>
  <w:style w:type="paragraph" w:styleId="Title">
    <w:name w:val="Title"/>
    <w:basedOn w:val="Normal"/>
    <w:next w:val="Normal"/>
    <w:link w:val="TitleChar"/>
    <w:uiPriority w:val="10"/>
    <w:qFormat/>
    <w:rsid w:val="000E4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0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0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0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0CB"/>
    <w:pPr>
      <w:spacing w:before="160"/>
      <w:jc w:val="center"/>
    </w:pPr>
    <w:rPr>
      <w:i/>
      <w:iCs/>
      <w:color w:val="404040" w:themeColor="text1" w:themeTint="BF"/>
    </w:rPr>
  </w:style>
  <w:style w:type="character" w:customStyle="1" w:styleId="QuoteChar">
    <w:name w:val="Quote Char"/>
    <w:basedOn w:val="DefaultParagraphFont"/>
    <w:link w:val="Quote"/>
    <w:uiPriority w:val="29"/>
    <w:rsid w:val="000E40CB"/>
    <w:rPr>
      <w:i/>
      <w:iCs/>
      <w:color w:val="404040" w:themeColor="text1" w:themeTint="BF"/>
    </w:rPr>
  </w:style>
  <w:style w:type="paragraph" w:styleId="ListParagraph">
    <w:name w:val="List Paragraph"/>
    <w:basedOn w:val="Normal"/>
    <w:uiPriority w:val="34"/>
    <w:qFormat/>
    <w:rsid w:val="000E40CB"/>
    <w:pPr>
      <w:ind w:left="720"/>
      <w:contextualSpacing/>
    </w:pPr>
  </w:style>
  <w:style w:type="character" w:styleId="IntenseEmphasis">
    <w:name w:val="Intense Emphasis"/>
    <w:basedOn w:val="DefaultParagraphFont"/>
    <w:uiPriority w:val="21"/>
    <w:qFormat/>
    <w:rsid w:val="000E40CB"/>
    <w:rPr>
      <w:i/>
      <w:iCs/>
      <w:color w:val="0F4761" w:themeColor="accent1" w:themeShade="BF"/>
    </w:rPr>
  </w:style>
  <w:style w:type="paragraph" w:styleId="IntenseQuote">
    <w:name w:val="Intense Quote"/>
    <w:basedOn w:val="Normal"/>
    <w:next w:val="Normal"/>
    <w:link w:val="IntenseQuoteChar"/>
    <w:uiPriority w:val="30"/>
    <w:qFormat/>
    <w:rsid w:val="000E40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0CB"/>
    <w:rPr>
      <w:i/>
      <w:iCs/>
      <w:color w:val="0F4761" w:themeColor="accent1" w:themeShade="BF"/>
    </w:rPr>
  </w:style>
  <w:style w:type="character" w:styleId="IntenseReference">
    <w:name w:val="Intense Reference"/>
    <w:basedOn w:val="DefaultParagraphFont"/>
    <w:uiPriority w:val="32"/>
    <w:qFormat/>
    <w:rsid w:val="000E40CB"/>
    <w:rPr>
      <w:b/>
      <w:bCs/>
      <w:smallCaps/>
      <w:color w:val="0F4761" w:themeColor="accent1" w:themeShade="BF"/>
      <w:spacing w:val="5"/>
    </w:rPr>
  </w:style>
  <w:style w:type="character" w:styleId="Hyperlink">
    <w:name w:val="Hyperlink"/>
    <w:basedOn w:val="DefaultParagraphFont"/>
    <w:uiPriority w:val="99"/>
    <w:unhideWhenUsed/>
    <w:rsid w:val="00076B18"/>
    <w:rPr>
      <w:color w:val="467886" w:themeColor="hyperlink"/>
      <w:u w:val="single"/>
    </w:rPr>
  </w:style>
  <w:style w:type="character" w:styleId="UnresolvedMention">
    <w:name w:val="Unresolved Mention"/>
    <w:basedOn w:val="DefaultParagraphFont"/>
    <w:uiPriority w:val="99"/>
    <w:semiHidden/>
    <w:unhideWhenUsed/>
    <w:rsid w:val="00076B18"/>
    <w:rPr>
      <w:color w:val="605E5C"/>
      <w:shd w:val="clear" w:color="auto" w:fill="E1DFDD"/>
    </w:rPr>
  </w:style>
  <w:style w:type="table" w:styleId="TableGrid">
    <w:name w:val="Table Grid"/>
    <w:basedOn w:val="TableNormal"/>
    <w:uiPriority w:val="39"/>
    <w:rsid w:val="00AF2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5707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1b73d6c8fa8f50384489c9a/Teachers__Standards_Dec_202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media/661d24ac08c3be25cfbd3e61/Initial_Teacher_Training_and_Early_Career_Framework.pdf" TargetMode="External"/><Relationship Id="rId12" Type="http://schemas.openxmlformats.org/officeDocument/2006/relationships/hyperlink" Target="mailto:srenshaw@leltsh-tmet.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education-evidence/guidance-reports/send" TargetMode="External"/><Relationship Id="rId11" Type="http://schemas.openxmlformats.org/officeDocument/2006/relationships/hyperlink" Target="https://www.leicspart.nhs.uk/wp-content/uploads/2022/11/BeyondAccommodations_Education.pdf" TargetMode="External"/><Relationship Id="rId5" Type="http://schemas.openxmlformats.org/officeDocument/2006/relationships/hyperlink" Target="https://educationendowmentfoundation.org.uk/education-evidence/guidance-reports/send" TargetMode="External"/><Relationship Id="rId10" Type="http://schemas.openxmlformats.org/officeDocument/2006/relationships/hyperlink" Target="https://www.acas.org.uk/reasonable-adjustments" TargetMode="External"/><Relationship Id="rId4" Type="http://schemas.openxmlformats.org/officeDocument/2006/relationships/webSettings" Target="webSettings.xml"/><Relationship Id="rId9" Type="http://schemas.openxmlformats.org/officeDocument/2006/relationships/hyperlink" Target="https://d2tic4wvo1iusb.cloudfront.net/production/eef-guidance-reports/send/eef_special_educational_needs_in_mainstream_schools_guidance_report_2025-04-10-110432_klxp.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3824</Words>
  <Characters>19430</Characters>
  <Application>Microsoft Office Word</Application>
  <DocSecurity>0</DocSecurity>
  <Lines>1766</Lines>
  <Paragraphs>645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Renshaw</dc:creator>
  <cp:keywords/>
  <dc:description/>
  <cp:lastModifiedBy>Rebecca Lewis</cp:lastModifiedBy>
  <cp:revision>2</cp:revision>
  <dcterms:created xsi:type="dcterms:W3CDTF">2026-02-09T12:55:00Z</dcterms:created>
  <dcterms:modified xsi:type="dcterms:W3CDTF">2026-02-09T12:55:00Z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fe2a56-af49-4a87-8d01-0ad3300d8c60_Enabled">
    <vt:lpwstr>true</vt:lpwstr>
  </property>
  <property fmtid="{D5CDD505-2E9C-101B-9397-08002B2CF9AE}" pid="3" name="MSIP_Label_d6fe2a56-af49-4a87-8d01-0ad3300d8c60_SetDate">
    <vt:lpwstr>2026-01-20T21:51:27Z</vt:lpwstr>
  </property>
  <property fmtid="{D5CDD505-2E9C-101B-9397-08002B2CF9AE}" pid="4" name="MSIP_Label_d6fe2a56-af49-4a87-8d01-0ad3300d8c60_Method">
    <vt:lpwstr>Standard</vt:lpwstr>
  </property>
  <property fmtid="{D5CDD505-2E9C-101B-9397-08002B2CF9AE}" pid="5" name="MSIP_Label_d6fe2a56-af49-4a87-8d01-0ad3300d8c60_Name">
    <vt:lpwstr>defa4170-0d19-0005-0004-bc88714345d2</vt:lpwstr>
  </property>
  <property fmtid="{D5CDD505-2E9C-101B-9397-08002B2CF9AE}" pid="6" name="MSIP_Label_d6fe2a56-af49-4a87-8d01-0ad3300d8c60_SiteId">
    <vt:lpwstr>51640577-21a1-4ce3-8bc8-5bb90cabad75</vt:lpwstr>
  </property>
  <property fmtid="{D5CDD505-2E9C-101B-9397-08002B2CF9AE}" pid="7" name="MSIP_Label_d6fe2a56-af49-4a87-8d01-0ad3300d8c60_ActionId">
    <vt:lpwstr>e5ee982b-2079-41f3-bb8f-ab7099e1c1f9</vt:lpwstr>
  </property>
  <property fmtid="{D5CDD505-2E9C-101B-9397-08002B2CF9AE}" pid="8" name="MSIP_Label_d6fe2a56-af49-4a87-8d01-0ad3300d8c60_ContentBits">
    <vt:lpwstr>0</vt:lpwstr>
  </property>
  <property fmtid="{D5CDD505-2E9C-101B-9397-08002B2CF9AE}" pid="9" name="MSIP_Label_d6fe2a56-af49-4a87-8d01-0ad3300d8c60_Tag">
    <vt:lpwstr>10, 3, 0, 1</vt:lpwstr>
  </property>
</Properties>
</file>