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FF0E" w14:textId="3EFA10B5" w:rsidR="00BA267E" w:rsidRDefault="001C5143">
      <w:pPr>
        <w:spacing w:after="160"/>
      </w:pPr>
      <w:r>
        <w:rPr>
          <w:b/>
          <w:bCs/>
        </w:rPr>
        <w:t>Training Provider Name</w:t>
      </w:r>
      <w:r w:rsidR="00B537C9">
        <w:rPr>
          <w:b/>
          <w:bCs/>
        </w:rPr>
        <w:t xml:space="preserve"> </w:t>
      </w:r>
      <w:r w:rsidR="00B537C9" w:rsidRPr="00692CDC">
        <w:t>University of Northampton</w:t>
      </w:r>
    </w:p>
    <w:p w14:paraId="2ECD95C7" w14:textId="2F0D1A97" w:rsidR="00BA267E" w:rsidRDefault="001C5143">
      <w:pPr>
        <w:spacing w:after="160"/>
      </w:pPr>
      <w:r>
        <w:rPr>
          <w:b/>
          <w:bCs/>
        </w:rPr>
        <w:t>Training Provider Address</w:t>
      </w:r>
      <w:r w:rsidR="00B537C9">
        <w:rPr>
          <w:b/>
          <w:bCs/>
        </w:rPr>
        <w:t xml:space="preserve"> </w:t>
      </w:r>
      <w:r w:rsidR="00B537C9" w:rsidRPr="00692CDC">
        <w:t>Waterside Campus, University Drive, Northampton NN1 5PH</w:t>
      </w:r>
    </w:p>
    <w:p w14:paraId="1FF7B708" w14:textId="77777777" w:rsidR="00BA267E" w:rsidRDefault="00BA267E">
      <w:pPr>
        <w:spacing w:after="160"/>
      </w:pPr>
    </w:p>
    <w:p w14:paraId="7D35692C" w14:textId="77777777" w:rsidR="00BA267E" w:rsidRDefault="00BA267E">
      <w:pPr>
        <w:spacing w:after="1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39"/>
        <w:gridCol w:w="5477"/>
      </w:tblGrid>
      <w:tr w:rsidR="00BA267E" w14:paraId="29C1657E" w14:textId="77777777">
        <w:tc>
          <w:tcPr>
            <w:tcW w:w="9016" w:type="dxa"/>
            <w:gridSpan w:val="2"/>
            <w:tcBorders>
              <w:bottom w:val="single" w:sz="4" w:space="0" w:color="000000"/>
            </w:tcBorders>
            <w:tcMar>
              <w:top w:w="0" w:type="dxa"/>
              <w:left w:w="108" w:type="dxa"/>
              <w:bottom w:w="0" w:type="dxa"/>
              <w:right w:w="108" w:type="dxa"/>
            </w:tcMar>
            <w:hideMark/>
          </w:tcPr>
          <w:p w14:paraId="0510B0D4" w14:textId="57C91C78" w:rsidR="00BA267E" w:rsidRDefault="00692CDC">
            <w:pPr>
              <w:spacing w:line="240" w:lineRule="auto"/>
              <w:rPr>
                <w:b/>
                <w:bCs/>
                <w:color w:val="000000"/>
              </w:rPr>
            </w:pPr>
            <w:r>
              <w:rPr>
                <w:b/>
                <w:bCs/>
                <w:color w:val="000000"/>
              </w:rPr>
              <w:t>About Us</w:t>
            </w:r>
          </w:p>
          <w:p w14:paraId="54174A45" w14:textId="77777777" w:rsidR="00692CDC" w:rsidRDefault="00692CDC">
            <w:pPr>
              <w:spacing w:line="240" w:lineRule="auto"/>
              <w:rPr>
                <w:color w:val="000000"/>
              </w:rPr>
            </w:pPr>
          </w:p>
          <w:p w14:paraId="104A6D1B" w14:textId="57F16235" w:rsidR="00B537C9" w:rsidRPr="00B537C9" w:rsidRDefault="00A33ED4" w:rsidP="00B537C9">
            <w:pPr>
              <w:spacing w:line="240" w:lineRule="auto"/>
              <w:rPr>
                <w:color w:val="000000"/>
              </w:rPr>
            </w:pPr>
            <w:r>
              <w:rPr>
                <w:color w:val="000000"/>
              </w:rPr>
              <w:t>The University of Northampton is</w:t>
            </w:r>
            <w:r w:rsidR="00B537C9" w:rsidRPr="00B537C9">
              <w:rPr>
                <w:color w:val="000000"/>
              </w:rPr>
              <w:t xml:space="preserve"> one of the youngest universities in the </w:t>
            </w:r>
            <w:proofErr w:type="gramStart"/>
            <w:r w:rsidR="00B537C9" w:rsidRPr="00B537C9">
              <w:rPr>
                <w:color w:val="000000"/>
              </w:rPr>
              <w:t>UK</w:t>
            </w:r>
            <w:proofErr w:type="gramEnd"/>
            <w:r w:rsidR="00B537C9" w:rsidRPr="00B537C9">
              <w:rPr>
                <w:color w:val="000000"/>
              </w:rPr>
              <w:t xml:space="preserve"> but we are already leading the way in adding value to society, which we call social impact. We have won multiple awards for our work in this area, among others, but what matters the most to us is ensuring that our students and graduates </w:t>
            </w:r>
            <w:proofErr w:type="gramStart"/>
            <w:r w:rsidR="00B537C9" w:rsidRPr="00B537C9">
              <w:rPr>
                <w:color w:val="000000"/>
              </w:rPr>
              <w:t>have the opportunity to</w:t>
            </w:r>
            <w:proofErr w:type="gramEnd"/>
            <w:r w:rsidR="00B537C9" w:rsidRPr="00B537C9">
              <w:rPr>
                <w:color w:val="000000"/>
              </w:rPr>
              <w:t xml:space="preserve"> make their mark on the world.</w:t>
            </w:r>
          </w:p>
          <w:p w14:paraId="338A71AC" w14:textId="77777777" w:rsidR="00B537C9" w:rsidRDefault="00B537C9" w:rsidP="00B537C9">
            <w:pPr>
              <w:spacing w:line="240" w:lineRule="auto"/>
              <w:rPr>
                <w:color w:val="000000"/>
              </w:rPr>
            </w:pPr>
          </w:p>
          <w:p w14:paraId="16BDD7B8" w14:textId="2E452D34" w:rsidR="00A33ED4" w:rsidRDefault="00A33ED4" w:rsidP="00A33ED4">
            <w:pPr>
              <w:spacing w:line="240" w:lineRule="auto"/>
              <w:rPr>
                <w:color w:val="000000"/>
              </w:rPr>
            </w:pPr>
            <w:r>
              <w:rPr>
                <w:color w:val="000000"/>
              </w:rPr>
              <w:t xml:space="preserve">Our range of </w:t>
            </w:r>
            <w:r w:rsidR="00250B30">
              <w:rPr>
                <w:color w:val="000000"/>
              </w:rPr>
              <w:t>Learning and Teaching and QTS based</w:t>
            </w:r>
            <w:r w:rsidR="00C1212C">
              <w:rPr>
                <w:color w:val="000000"/>
              </w:rPr>
              <w:t xml:space="preserve"> </w:t>
            </w:r>
            <w:proofErr w:type="spellStart"/>
            <w:r>
              <w:rPr>
                <w:color w:val="000000"/>
              </w:rPr>
              <w:t>programmes</w:t>
            </w:r>
            <w:proofErr w:type="spellEnd"/>
            <w:r>
              <w:rPr>
                <w:color w:val="000000"/>
              </w:rPr>
              <w:t xml:space="preserve"> develop highly employable and reflective teachers and practitioners</w:t>
            </w:r>
            <w:r w:rsidR="00C1212C">
              <w:rPr>
                <w:color w:val="000000"/>
              </w:rPr>
              <w:t xml:space="preserve">, </w:t>
            </w:r>
            <w:proofErr w:type="gramStart"/>
            <w:r w:rsidR="00C1212C">
              <w:rPr>
                <w:color w:val="000000"/>
              </w:rPr>
              <w:t>a number of</w:t>
            </w:r>
            <w:proofErr w:type="gramEnd"/>
            <w:r w:rsidR="00C1212C">
              <w:rPr>
                <w:color w:val="000000"/>
              </w:rPr>
              <w:t xml:space="preserve"> which can be undertaken whilst working</w:t>
            </w:r>
            <w:r w:rsidR="009B3BA7">
              <w:rPr>
                <w:color w:val="000000"/>
              </w:rPr>
              <w:t xml:space="preserve">, to gain </w:t>
            </w:r>
            <w:proofErr w:type="spellStart"/>
            <w:r w:rsidR="009B3BA7">
              <w:rPr>
                <w:color w:val="000000"/>
              </w:rPr>
              <w:t>recognised</w:t>
            </w:r>
            <w:proofErr w:type="spellEnd"/>
            <w:r w:rsidR="009B3BA7">
              <w:rPr>
                <w:color w:val="000000"/>
              </w:rPr>
              <w:t xml:space="preserve"> qualifications and support your progression</w:t>
            </w:r>
            <w:r w:rsidR="00CF2480">
              <w:rPr>
                <w:color w:val="000000"/>
              </w:rPr>
              <w:t xml:space="preserve"> in your chosen career</w:t>
            </w:r>
            <w:r w:rsidR="009B3BA7">
              <w:rPr>
                <w:color w:val="000000"/>
              </w:rPr>
              <w:t>.</w:t>
            </w:r>
          </w:p>
          <w:p w14:paraId="3D4D37A1" w14:textId="77777777" w:rsidR="009B3BA7" w:rsidRDefault="009B3BA7" w:rsidP="00A33ED4">
            <w:pPr>
              <w:spacing w:line="240" w:lineRule="auto"/>
              <w:rPr>
                <w:color w:val="000000"/>
              </w:rPr>
            </w:pPr>
          </w:p>
          <w:p w14:paraId="2F190758" w14:textId="7A753A51" w:rsidR="00BA267E" w:rsidRDefault="009B3BA7" w:rsidP="00B537C9">
            <w:pPr>
              <w:spacing w:line="240" w:lineRule="auto"/>
              <w:rPr>
                <w:color w:val="000000"/>
              </w:rPr>
            </w:pPr>
            <w:r>
              <w:rPr>
                <w:color w:val="000000"/>
              </w:rPr>
              <w:t>Underpinned by research and taught by experts in the field of education</w:t>
            </w:r>
            <w:r w:rsidR="00CF2480">
              <w:rPr>
                <w:color w:val="000000"/>
              </w:rPr>
              <w:t>,</w:t>
            </w:r>
            <w:r>
              <w:rPr>
                <w:color w:val="000000"/>
              </w:rPr>
              <w:t xml:space="preserve"> </w:t>
            </w:r>
            <w:r w:rsidR="00CF2480">
              <w:rPr>
                <w:color w:val="000000"/>
              </w:rPr>
              <w:t xml:space="preserve">in an innovative learning environment, </w:t>
            </w:r>
            <w:r>
              <w:rPr>
                <w:color w:val="000000"/>
              </w:rPr>
              <w:t>you will be supported throughout your period of study to</w:t>
            </w:r>
            <w:r w:rsidR="00B537C9" w:rsidRPr="00B537C9">
              <w:rPr>
                <w:color w:val="000000"/>
              </w:rPr>
              <w:t xml:space="preserve"> enable you to transform your life and those of others too</w:t>
            </w:r>
            <w:r w:rsidR="00CF2480">
              <w:rPr>
                <w:color w:val="000000"/>
              </w:rPr>
              <w:t>.</w:t>
            </w:r>
          </w:p>
          <w:p w14:paraId="3ACD0CED" w14:textId="77777777" w:rsidR="00BA267E" w:rsidRDefault="00BA267E">
            <w:pPr>
              <w:spacing w:line="240" w:lineRule="auto"/>
              <w:rPr>
                <w:color w:val="000000"/>
              </w:rPr>
            </w:pPr>
          </w:p>
          <w:p w14:paraId="6775B584" w14:textId="77777777" w:rsidR="00BA267E" w:rsidRDefault="00BA267E">
            <w:pPr>
              <w:spacing w:line="240" w:lineRule="auto"/>
              <w:rPr>
                <w:color w:val="000000"/>
              </w:rPr>
            </w:pPr>
          </w:p>
        </w:tc>
      </w:tr>
      <w:tr w:rsidR="00BA267E" w14:paraId="57935176" w14:textId="77777777">
        <w:tc>
          <w:tcPr>
            <w:tcW w:w="3539"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2F08F1" w14:textId="1C892258" w:rsidR="00BA267E" w:rsidRDefault="001C5143" w:rsidP="00692CDC">
            <w:pPr>
              <w:spacing w:line="240" w:lineRule="auto"/>
              <w:rPr>
                <w:color w:val="000000"/>
              </w:rPr>
            </w:pPr>
            <w:r>
              <w:rPr>
                <w:b/>
                <w:bCs/>
                <w:color w:val="000000"/>
              </w:rPr>
              <w:t>Geographical areas covered</w:t>
            </w:r>
            <w:r>
              <w:rPr>
                <w:color w:val="000000"/>
              </w:rPr>
              <w:t xml:space="preserve"> </w:t>
            </w:r>
          </w:p>
        </w:tc>
        <w:tc>
          <w:tcPr>
            <w:tcW w:w="5477" w:type="dxa"/>
            <w:tcBorders>
              <w:top w:val="single" w:sz="4" w:space="0" w:color="000000"/>
              <w:left w:val="single" w:sz="4" w:space="0" w:color="000000"/>
              <w:bottom w:val="single" w:sz="4" w:space="0" w:color="000000"/>
            </w:tcBorders>
            <w:tcMar>
              <w:top w:w="0" w:type="dxa"/>
              <w:left w:w="108" w:type="dxa"/>
              <w:bottom w:w="0" w:type="dxa"/>
              <w:right w:w="108" w:type="dxa"/>
            </w:tcMar>
          </w:tcPr>
          <w:p w14:paraId="32BAFBFB" w14:textId="77777777" w:rsidR="00BA267E" w:rsidRDefault="00451456">
            <w:pPr>
              <w:spacing w:line="240" w:lineRule="auto"/>
              <w:rPr>
                <w:color w:val="000000"/>
              </w:rPr>
            </w:pPr>
            <w:r>
              <w:rPr>
                <w:color w:val="000000"/>
              </w:rPr>
              <w:t>Buckinghamshire</w:t>
            </w:r>
          </w:p>
          <w:p w14:paraId="487C0014" w14:textId="4679523B" w:rsidR="00451456" w:rsidRDefault="00451456">
            <w:pPr>
              <w:spacing w:line="240" w:lineRule="auto"/>
              <w:rPr>
                <w:color w:val="000000"/>
              </w:rPr>
            </w:pPr>
            <w:r>
              <w:rPr>
                <w:color w:val="000000"/>
              </w:rPr>
              <w:t>Coventry</w:t>
            </w:r>
          </w:p>
          <w:p w14:paraId="4162C313" w14:textId="7BC8F6D4" w:rsidR="00451456" w:rsidRDefault="00451456">
            <w:pPr>
              <w:spacing w:line="240" w:lineRule="auto"/>
              <w:rPr>
                <w:color w:val="000000"/>
              </w:rPr>
            </w:pPr>
            <w:r>
              <w:rPr>
                <w:color w:val="000000"/>
              </w:rPr>
              <w:t>Leicester</w:t>
            </w:r>
          </w:p>
          <w:p w14:paraId="36997D21" w14:textId="1A57A86A" w:rsidR="00451456" w:rsidRDefault="00451456">
            <w:pPr>
              <w:spacing w:line="240" w:lineRule="auto"/>
              <w:rPr>
                <w:color w:val="000000"/>
              </w:rPr>
            </w:pPr>
            <w:r>
              <w:rPr>
                <w:color w:val="000000"/>
              </w:rPr>
              <w:t>Leicestershire</w:t>
            </w:r>
          </w:p>
          <w:p w14:paraId="0034F852" w14:textId="77777777" w:rsidR="00451456" w:rsidRDefault="00451456">
            <w:pPr>
              <w:spacing w:line="240" w:lineRule="auto"/>
              <w:rPr>
                <w:color w:val="000000"/>
              </w:rPr>
            </w:pPr>
            <w:r>
              <w:rPr>
                <w:color w:val="000000"/>
              </w:rPr>
              <w:t>Milton Keynes</w:t>
            </w:r>
          </w:p>
          <w:p w14:paraId="2ED4627D" w14:textId="46F32467" w:rsidR="00451456" w:rsidRDefault="00451456">
            <w:pPr>
              <w:spacing w:line="240" w:lineRule="auto"/>
              <w:rPr>
                <w:color w:val="000000"/>
              </w:rPr>
            </w:pPr>
            <w:r>
              <w:rPr>
                <w:color w:val="000000"/>
              </w:rPr>
              <w:t>North Northamptonshire</w:t>
            </w:r>
          </w:p>
          <w:p w14:paraId="5E751051" w14:textId="77777777" w:rsidR="00451456" w:rsidRDefault="00451456">
            <w:pPr>
              <w:spacing w:line="240" w:lineRule="auto"/>
              <w:rPr>
                <w:color w:val="000000"/>
              </w:rPr>
            </w:pPr>
            <w:r>
              <w:rPr>
                <w:color w:val="000000"/>
              </w:rPr>
              <w:t>Warwickshire</w:t>
            </w:r>
          </w:p>
          <w:p w14:paraId="3B76CC95" w14:textId="70BCE272" w:rsidR="00451456" w:rsidRDefault="00451456">
            <w:pPr>
              <w:spacing w:line="240" w:lineRule="auto"/>
              <w:rPr>
                <w:color w:val="000000"/>
              </w:rPr>
            </w:pPr>
            <w:r>
              <w:rPr>
                <w:color w:val="000000"/>
              </w:rPr>
              <w:t>West Northamptonshire</w:t>
            </w:r>
          </w:p>
        </w:tc>
      </w:tr>
      <w:tr w:rsidR="00BA267E" w14:paraId="71419CD2" w14:textId="77777777">
        <w:tc>
          <w:tcPr>
            <w:tcW w:w="3539"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A8F3D5" w14:textId="53F74550" w:rsidR="00BA267E" w:rsidRDefault="001C5143">
            <w:pPr>
              <w:spacing w:line="240" w:lineRule="auto"/>
              <w:rPr>
                <w:color w:val="000000"/>
              </w:rPr>
            </w:pPr>
            <w:r>
              <w:rPr>
                <w:b/>
                <w:bCs/>
                <w:color w:val="000000"/>
              </w:rPr>
              <w:t>Courses offered</w:t>
            </w:r>
            <w:r>
              <w:rPr>
                <w:color w:val="000000"/>
              </w:rPr>
              <w:t xml:space="preserve"> </w:t>
            </w:r>
          </w:p>
          <w:p w14:paraId="719F15A8" w14:textId="77777777" w:rsidR="00BA267E" w:rsidRDefault="00BA267E">
            <w:pPr>
              <w:spacing w:line="240" w:lineRule="auto"/>
              <w:rPr>
                <w:color w:val="000000"/>
              </w:rPr>
            </w:pPr>
          </w:p>
          <w:p w14:paraId="7F0EC1B8" w14:textId="77777777" w:rsidR="00BA267E" w:rsidRDefault="00BA267E">
            <w:pPr>
              <w:spacing w:line="240" w:lineRule="auto"/>
              <w:rPr>
                <w:color w:val="000000"/>
              </w:rPr>
            </w:pPr>
          </w:p>
          <w:p w14:paraId="742A9B10" w14:textId="77777777" w:rsidR="00BA267E" w:rsidRDefault="00BA267E">
            <w:pPr>
              <w:spacing w:line="240" w:lineRule="auto"/>
              <w:rPr>
                <w:color w:val="000000"/>
              </w:rPr>
            </w:pPr>
          </w:p>
          <w:p w14:paraId="218BB252" w14:textId="77777777" w:rsidR="00BA267E" w:rsidRDefault="00BA267E">
            <w:pPr>
              <w:spacing w:line="240" w:lineRule="auto"/>
              <w:rPr>
                <w:color w:val="000000"/>
              </w:rPr>
            </w:pPr>
          </w:p>
        </w:tc>
        <w:tc>
          <w:tcPr>
            <w:tcW w:w="5477" w:type="dxa"/>
            <w:tcBorders>
              <w:top w:val="single" w:sz="4" w:space="0" w:color="000000"/>
              <w:left w:val="single" w:sz="4" w:space="0" w:color="000000"/>
              <w:bottom w:val="single" w:sz="4" w:space="0" w:color="000000"/>
            </w:tcBorders>
            <w:tcMar>
              <w:top w:w="0" w:type="dxa"/>
              <w:left w:w="108" w:type="dxa"/>
              <w:bottom w:w="0" w:type="dxa"/>
              <w:right w:w="108" w:type="dxa"/>
            </w:tcMar>
          </w:tcPr>
          <w:p w14:paraId="5C0DF450" w14:textId="77777777" w:rsidR="00BA267E" w:rsidRDefault="00B537C9">
            <w:pPr>
              <w:spacing w:line="240" w:lineRule="auto"/>
              <w:rPr>
                <w:color w:val="000000"/>
              </w:rPr>
            </w:pPr>
            <w:r>
              <w:rPr>
                <w:color w:val="000000"/>
              </w:rPr>
              <w:t>Assessment Only Route to Qualified Teacher Status (QTS)</w:t>
            </w:r>
          </w:p>
          <w:p w14:paraId="6FE2EDF5" w14:textId="77777777" w:rsidR="00B537C9" w:rsidRDefault="00B537C9">
            <w:pPr>
              <w:spacing w:line="240" w:lineRule="auto"/>
              <w:rPr>
                <w:color w:val="000000"/>
              </w:rPr>
            </w:pPr>
            <w:r>
              <w:rPr>
                <w:color w:val="000000"/>
              </w:rPr>
              <w:t>Higher Level Teaching Assistant (HLTA)</w:t>
            </w:r>
          </w:p>
          <w:p w14:paraId="4F62FFDB" w14:textId="77777777" w:rsidR="00B537C9" w:rsidRDefault="00B537C9">
            <w:pPr>
              <w:spacing w:line="240" w:lineRule="auto"/>
              <w:rPr>
                <w:color w:val="000000"/>
              </w:rPr>
            </w:pPr>
            <w:r>
              <w:rPr>
                <w:color w:val="000000"/>
              </w:rPr>
              <w:t xml:space="preserve">Learning and Teaching </w:t>
            </w:r>
            <w:proofErr w:type="spellStart"/>
            <w:r>
              <w:rPr>
                <w:color w:val="000000"/>
              </w:rPr>
              <w:t>FdLT</w:t>
            </w:r>
            <w:proofErr w:type="spellEnd"/>
          </w:p>
          <w:p w14:paraId="76CBB709" w14:textId="77777777" w:rsidR="00B537C9" w:rsidRDefault="00B537C9">
            <w:pPr>
              <w:spacing w:line="240" w:lineRule="auto"/>
              <w:rPr>
                <w:color w:val="000000"/>
              </w:rPr>
            </w:pPr>
            <w:r w:rsidRPr="00B537C9">
              <w:rPr>
                <w:color w:val="000000"/>
              </w:rPr>
              <w:t>Learning and Teaching (SEND and Inclusive Provision Pathway) Foundation Degree</w:t>
            </w:r>
          </w:p>
          <w:p w14:paraId="19B5B393" w14:textId="77777777" w:rsidR="00B537C9" w:rsidRDefault="00B537C9">
            <w:pPr>
              <w:spacing w:line="240" w:lineRule="auto"/>
              <w:rPr>
                <w:color w:val="000000"/>
              </w:rPr>
            </w:pPr>
            <w:r w:rsidRPr="00B537C9">
              <w:rPr>
                <w:color w:val="000000"/>
              </w:rPr>
              <w:t>Learning and Teaching (top-up) BA (Hons)</w:t>
            </w:r>
          </w:p>
          <w:p w14:paraId="06FD17C5" w14:textId="77777777" w:rsidR="00B537C9" w:rsidRDefault="00B537C9">
            <w:pPr>
              <w:spacing w:line="240" w:lineRule="auto"/>
              <w:rPr>
                <w:color w:val="000000"/>
              </w:rPr>
            </w:pPr>
            <w:r w:rsidRPr="00B537C9">
              <w:rPr>
                <w:color w:val="000000"/>
              </w:rPr>
              <w:t>PGCE (Top-Up) Primary/Early Years/Secondary</w:t>
            </w:r>
          </w:p>
          <w:p w14:paraId="533E223E" w14:textId="20A3A288" w:rsidR="00C1212C" w:rsidRDefault="00C1212C">
            <w:pPr>
              <w:spacing w:line="240" w:lineRule="auto"/>
              <w:rPr>
                <w:color w:val="000000"/>
              </w:rPr>
            </w:pPr>
            <w:r>
              <w:rPr>
                <w:color w:val="000000"/>
              </w:rPr>
              <w:t>Early Childhood Studies BA (Hons)</w:t>
            </w:r>
          </w:p>
          <w:p w14:paraId="61C41F25" w14:textId="77777777" w:rsidR="00B537C9" w:rsidRDefault="00B537C9" w:rsidP="00B537C9">
            <w:pPr>
              <w:spacing w:line="240" w:lineRule="auto"/>
              <w:rPr>
                <w:color w:val="000000"/>
              </w:rPr>
            </w:pPr>
            <w:r w:rsidRPr="00B537C9">
              <w:rPr>
                <w:color w:val="000000"/>
              </w:rPr>
              <w:t>Primary Education 5-11 (QTS) BA (Hons)</w:t>
            </w:r>
          </w:p>
          <w:p w14:paraId="5BAC17EE" w14:textId="382FBB92" w:rsidR="00B537C9" w:rsidRDefault="00B537C9" w:rsidP="00B537C9">
            <w:pPr>
              <w:spacing w:line="240" w:lineRule="auto"/>
              <w:rPr>
                <w:color w:val="000000"/>
              </w:rPr>
            </w:pPr>
            <w:r w:rsidRPr="00B537C9">
              <w:rPr>
                <w:color w:val="000000"/>
              </w:rPr>
              <w:t>Primary Education (5-11) (QTS) PGCE</w:t>
            </w:r>
          </w:p>
          <w:p w14:paraId="0744B0DC" w14:textId="545C20C4" w:rsidR="00B537C9" w:rsidRDefault="00B537C9" w:rsidP="00B537C9">
            <w:pPr>
              <w:spacing w:line="240" w:lineRule="auto"/>
              <w:rPr>
                <w:color w:val="000000"/>
              </w:rPr>
            </w:pPr>
          </w:p>
        </w:tc>
      </w:tr>
      <w:tr w:rsidR="00BA267E" w14:paraId="4D775696" w14:textId="77777777">
        <w:tc>
          <w:tcPr>
            <w:tcW w:w="3539"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2A0744" w14:textId="502AE282" w:rsidR="00BA267E" w:rsidRDefault="001C5143">
            <w:pPr>
              <w:spacing w:line="240" w:lineRule="auto"/>
              <w:rPr>
                <w:color w:val="000000"/>
              </w:rPr>
            </w:pPr>
            <w:r>
              <w:rPr>
                <w:b/>
                <w:bCs/>
                <w:color w:val="000000"/>
              </w:rPr>
              <w:t>Routes into teaching offered</w:t>
            </w:r>
            <w:r>
              <w:rPr>
                <w:color w:val="000000"/>
              </w:rPr>
              <w:t xml:space="preserve"> </w:t>
            </w:r>
          </w:p>
          <w:p w14:paraId="18637CBF" w14:textId="77777777" w:rsidR="00BA267E" w:rsidRDefault="00BA267E">
            <w:pPr>
              <w:spacing w:line="240" w:lineRule="auto"/>
              <w:rPr>
                <w:color w:val="000000"/>
              </w:rPr>
            </w:pPr>
          </w:p>
          <w:p w14:paraId="3BB56BC0" w14:textId="77777777" w:rsidR="00BA267E" w:rsidRDefault="00BA267E">
            <w:pPr>
              <w:spacing w:line="240" w:lineRule="auto"/>
              <w:rPr>
                <w:color w:val="000000"/>
              </w:rPr>
            </w:pPr>
          </w:p>
        </w:tc>
        <w:tc>
          <w:tcPr>
            <w:tcW w:w="5477" w:type="dxa"/>
            <w:tcBorders>
              <w:top w:val="single" w:sz="4" w:space="0" w:color="000000"/>
              <w:left w:val="single" w:sz="4" w:space="0" w:color="000000"/>
              <w:bottom w:val="single" w:sz="4" w:space="0" w:color="000000"/>
            </w:tcBorders>
            <w:tcMar>
              <w:top w:w="0" w:type="dxa"/>
              <w:left w:w="108" w:type="dxa"/>
              <w:bottom w:w="0" w:type="dxa"/>
              <w:right w:w="108" w:type="dxa"/>
            </w:tcMar>
          </w:tcPr>
          <w:p w14:paraId="041AC0D8" w14:textId="77777777" w:rsidR="00451456" w:rsidRDefault="00451456" w:rsidP="00451456">
            <w:pPr>
              <w:spacing w:line="240" w:lineRule="auto"/>
              <w:rPr>
                <w:color w:val="000000"/>
              </w:rPr>
            </w:pPr>
            <w:r w:rsidRPr="00B537C9">
              <w:rPr>
                <w:color w:val="000000"/>
              </w:rPr>
              <w:t>Primary Education 5-11 (QTS) BA (Hons)</w:t>
            </w:r>
          </w:p>
          <w:p w14:paraId="1164D458" w14:textId="77777777" w:rsidR="00451456" w:rsidRDefault="00451456" w:rsidP="00451456">
            <w:pPr>
              <w:spacing w:line="240" w:lineRule="auto"/>
              <w:rPr>
                <w:color w:val="000000"/>
              </w:rPr>
            </w:pPr>
            <w:r w:rsidRPr="00B537C9">
              <w:rPr>
                <w:color w:val="000000"/>
              </w:rPr>
              <w:t>Primary Education (5-11) (QTS) PGCE</w:t>
            </w:r>
          </w:p>
          <w:p w14:paraId="13584A63" w14:textId="77777777" w:rsidR="00451456" w:rsidRDefault="00451456" w:rsidP="00451456">
            <w:pPr>
              <w:spacing w:line="240" w:lineRule="auto"/>
              <w:rPr>
                <w:color w:val="000000"/>
              </w:rPr>
            </w:pPr>
            <w:r>
              <w:rPr>
                <w:color w:val="000000"/>
              </w:rPr>
              <w:t>Assessment Only Route to Qualified Teacher Status (QTS)</w:t>
            </w:r>
          </w:p>
          <w:p w14:paraId="39F37FB7" w14:textId="77777777" w:rsidR="00BA267E" w:rsidRDefault="00BA267E">
            <w:pPr>
              <w:spacing w:line="240" w:lineRule="auto"/>
              <w:rPr>
                <w:color w:val="000000"/>
              </w:rPr>
            </w:pPr>
          </w:p>
        </w:tc>
      </w:tr>
      <w:tr w:rsidR="00BA267E" w14:paraId="22B19AEB" w14:textId="77777777">
        <w:tc>
          <w:tcPr>
            <w:tcW w:w="3539" w:type="dxa"/>
            <w:tcBorders>
              <w:top w:val="single" w:sz="4" w:space="0" w:color="000000"/>
              <w:right w:val="single" w:sz="4" w:space="0" w:color="000000"/>
            </w:tcBorders>
            <w:tcMar>
              <w:top w:w="0" w:type="dxa"/>
              <w:left w:w="108" w:type="dxa"/>
              <w:bottom w:w="0" w:type="dxa"/>
              <w:right w:w="108" w:type="dxa"/>
            </w:tcMar>
            <w:hideMark/>
          </w:tcPr>
          <w:p w14:paraId="11DA0797" w14:textId="184063E7" w:rsidR="00BA267E" w:rsidRDefault="001C5143">
            <w:pPr>
              <w:spacing w:line="240" w:lineRule="auto"/>
              <w:rPr>
                <w:color w:val="000000"/>
              </w:rPr>
            </w:pPr>
            <w:r>
              <w:rPr>
                <w:b/>
                <w:bCs/>
                <w:color w:val="000000"/>
              </w:rPr>
              <w:t xml:space="preserve">Main contact and contact details </w:t>
            </w:r>
          </w:p>
          <w:p w14:paraId="7461D643" w14:textId="77777777" w:rsidR="00BA267E" w:rsidRDefault="00BA267E">
            <w:pPr>
              <w:spacing w:line="240" w:lineRule="auto"/>
              <w:rPr>
                <w:color w:val="000000"/>
              </w:rPr>
            </w:pPr>
          </w:p>
        </w:tc>
        <w:tc>
          <w:tcPr>
            <w:tcW w:w="5477" w:type="dxa"/>
            <w:tcBorders>
              <w:top w:val="single" w:sz="4" w:space="0" w:color="000000"/>
              <w:left w:val="single" w:sz="4" w:space="0" w:color="000000"/>
            </w:tcBorders>
            <w:tcMar>
              <w:top w:w="0" w:type="dxa"/>
              <w:left w:w="108" w:type="dxa"/>
              <w:bottom w:w="0" w:type="dxa"/>
              <w:right w:w="108" w:type="dxa"/>
            </w:tcMar>
          </w:tcPr>
          <w:p w14:paraId="70F77696" w14:textId="10B4030E" w:rsidR="00BA267E" w:rsidRDefault="00B537C9">
            <w:pPr>
              <w:spacing w:line="240" w:lineRule="auto"/>
              <w:rPr>
                <w:color w:val="000000"/>
              </w:rPr>
            </w:pPr>
            <w:r>
              <w:rPr>
                <w:color w:val="000000"/>
              </w:rPr>
              <w:t xml:space="preserve">Enquiries: 0300 303 2772   </w:t>
            </w:r>
            <w:r w:rsidRPr="008D5B4E">
              <w:t>study@northampton.ac.uk</w:t>
            </w:r>
          </w:p>
          <w:p w14:paraId="6B63C585" w14:textId="4EC26E13" w:rsidR="00B537C9" w:rsidRDefault="00B537C9">
            <w:pPr>
              <w:spacing w:line="240" w:lineRule="auto"/>
              <w:rPr>
                <w:color w:val="000000"/>
              </w:rPr>
            </w:pPr>
            <w:r>
              <w:rPr>
                <w:color w:val="000000"/>
              </w:rPr>
              <w:t>www.northampton.ac.uk</w:t>
            </w:r>
          </w:p>
          <w:p w14:paraId="6865C132" w14:textId="5A0D906C" w:rsidR="00B537C9" w:rsidRDefault="00B537C9">
            <w:pPr>
              <w:spacing w:line="240" w:lineRule="auto"/>
              <w:rPr>
                <w:color w:val="000000"/>
              </w:rPr>
            </w:pPr>
          </w:p>
        </w:tc>
      </w:tr>
    </w:tbl>
    <w:p w14:paraId="1290F799" w14:textId="77777777" w:rsidR="00BA267E" w:rsidRDefault="00BA267E">
      <w:pPr>
        <w:spacing w:after="160"/>
      </w:pPr>
    </w:p>
    <w:p w14:paraId="5E777455" w14:textId="77777777" w:rsidR="00BA267E" w:rsidRDefault="00BA267E">
      <w:pPr>
        <w:spacing w:after="160"/>
      </w:pPr>
    </w:p>
    <w:sectPr w:rsidR="00BA26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4CB9" w14:textId="77777777" w:rsidR="00047180" w:rsidRDefault="00047180" w:rsidP="001C5143">
      <w:pPr>
        <w:spacing w:line="240" w:lineRule="auto"/>
      </w:pPr>
      <w:r>
        <w:separator/>
      </w:r>
    </w:p>
  </w:endnote>
  <w:endnote w:type="continuationSeparator" w:id="0">
    <w:p w14:paraId="1164972B" w14:textId="77777777" w:rsidR="00047180" w:rsidRDefault="00047180" w:rsidP="001C5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DF07" w14:textId="77777777" w:rsidR="001C5143" w:rsidRDefault="001C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1F09" w14:textId="77777777" w:rsidR="001C5143" w:rsidRDefault="001C5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9F7F" w14:textId="77777777" w:rsidR="001C5143" w:rsidRDefault="001C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8063" w14:textId="77777777" w:rsidR="00047180" w:rsidRDefault="00047180" w:rsidP="001C5143">
      <w:pPr>
        <w:spacing w:line="240" w:lineRule="auto"/>
      </w:pPr>
      <w:r>
        <w:separator/>
      </w:r>
    </w:p>
  </w:footnote>
  <w:footnote w:type="continuationSeparator" w:id="0">
    <w:p w14:paraId="2D09C99B" w14:textId="77777777" w:rsidR="00047180" w:rsidRDefault="00047180" w:rsidP="001C51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43CB" w14:textId="77777777" w:rsidR="001C5143" w:rsidRDefault="001C5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60E3" w14:textId="77777777" w:rsidR="001C5143" w:rsidRDefault="001C5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E5DF" w14:textId="77777777" w:rsidR="001C5143" w:rsidRDefault="001C5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7E"/>
    <w:rsid w:val="0000250B"/>
    <w:rsid w:val="00047180"/>
    <w:rsid w:val="001C5143"/>
    <w:rsid w:val="002004A3"/>
    <w:rsid w:val="00250B30"/>
    <w:rsid w:val="00451456"/>
    <w:rsid w:val="004F00C9"/>
    <w:rsid w:val="00692CDC"/>
    <w:rsid w:val="00711F65"/>
    <w:rsid w:val="0087571D"/>
    <w:rsid w:val="008D5B4E"/>
    <w:rsid w:val="00920BBF"/>
    <w:rsid w:val="00960C6B"/>
    <w:rsid w:val="009B3BA7"/>
    <w:rsid w:val="00A33ED4"/>
    <w:rsid w:val="00AA3FD8"/>
    <w:rsid w:val="00AF04AB"/>
    <w:rsid w:val="00B537C9"/>
    <w:rsid w:val="00BA267E"/>
    <w:rsid w:val="00C1212C"/>
    <w:rsid w:val="00CB3984"/>
    <w:rsid w:val="00CF2480"/>
    <w:rsid w:val="00D2671F"/>
    <w:rsid w:val="00E115B5"/>
    <w:rsid w:val="00E54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3427"/>
  <w15:docId w15:val="{A92156FB-58A6-4F31-9D05-66F43BE1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C5143"/>
    <w:pPr>
      <w:tabs>
        <w:tab w:val="center" w:pos="4513"/>
        <w:tab w:val="right" w:pos="9026"/>
      </w:tabs>
      <w:spacing w:line="240" w:lineRule="auto"/>
    </w:pPr>
  </w:style>
  <w:style w:type="character" w:customStyle="1" w:styleId="HeaderChar">
    <w:name w:val="Header Char"/>
    <w:basedOn w:val="DefaultParagraphFont"/>
    <w:link w:val="Header"/>
    <w:uiPriority w:val="99"/>
    <w:rsid w:val="001C5143"/>
    <w:rPr>
      <w:rFonts w:ascii="Calibri" w:eastAsia="Calibri" w:hAnsi="Calibri" w:cs="Calibri"/>
      <w:sz w:val="22"/>
      <w:szCs w:val="22"/>
    </w:rPr>
  </w:style>
  <w:style w:type="paragraph" w:styleId="Footer">
    <w:name w:val="footer"/>
    <w:basedOn w:val="Normal"/>
    <w:link w:val="FooterChar"/>
    <w:uiPriority w:val="99"/>
    <w:unhideWhenUsed/>
    <w:rsid w:val="001C5143"/>
    <w:pPr>
      <w:tabs>
        <w:tab w:val="center" w:pos="4513"/>
        <w:tab w:val="right" w:pos="9026"/>
      </w:tabs>
      <w:spacing w:line="240" w:lineRule="auto"/>
    </w:pPr>
  </w:style>
  <w:style w:type="character" w:customStyle="1" w:styleId="FooterChar">
    <w:name w:val="Footer Char"/>
    <w:basedOn w:val="DefaultParagraphFont"/>
    <w:link w:val="Footer"/>
    <w:uiPriority w:val="99"/>
    <w:rsid w:val="001C5143"/>
    <w:rPr>
      <w:rFonts w:ascii="Calibri" w:eastAsia="Calibri" w:hAnsi="Calibri" w:cs="Calibri"/>
      <w:sz w:val="22"/>
      <w:szCs w:val="22"/>
    </w:rPr>
  </w:style>
  <w:style w:type="character" w:styleId="Hyperlink">
    <w:name w:val="Hyperlink"/>
    <w:basedOn w:val="DefaultParagraphFont"/>
    <w:uiPriority w:val="99"/>
    <w:unhideWhenUsed/>
    <w:rsid w:val="00B537C9"/>
    <w:rPr>
      <w:color w:val="0000FF" w:themeColor="hyperlink"/>
      <w:u w:val="single"/>
    </w:rPr>
  </w:style>
  <w:style w:type="character" w:styleId="UnresolvedMention">
    <w:name w:val="Unresolved Mention"/>
    <w:basedOn w:val="DefaultParagraphFont"/>
    <w:uiPriority w:val="99"/>
    <w:semiHidden/>
    <w:unhideWhenUsed/>
    <w:rsid w:val="00B5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E6238396F1D04592A175CEC9DB1CFA" ma:contentTypeVersion="13" ma:contentTypeDescription="Create a new document." ma:contentTypeScope="" ma:versionID="ae176838a0a0f0bcc3baa011c8bf08e1">
  <xsd:schema xmlns:xsd="http://www.w3.org/2001/XMLSchema" xmlns:xs="http://www.w3.org/2001/XMLSchema" xmlns:p="http://schemas.microsoft.com/office/2006/metadata/properties" xmlns:ns2="c8d19fb7-ebee-4393-a1ea-d7556a6aafe0" xmlns:ns3="12681a80-661c-432f-8d38-66627548047c" targetNamespace="http://schemas.microsoft.com/office/2006/metadata/properties" ma:root="true" ma:fieldsID="73fce920d48413e08083d62799d44562" ns2:_="" ns3:_="">
    <xsd:import namespace="c8d19fb7-ebee-4393-a1ea-d7556a6aafe0"/>
    <xsd:import namespace="12681a80-661c-432f-8d38-6662754804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19fb7-ebee-4393-a1ea-d7556a6aa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681a80-661c-432f-8d38-666275480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29b125-18f4-4fa3-8cfc-858877f66352}" ma:internalName="TaxCatchAll" ma:showField="CatchAllData" ma:web="12681a80-661c-432f-8d38-666275480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d19fb7-ebee-4393-a1ea-d7556a6aafe0">
      <Terms xmlns="http://schemas.microsoft.com/office/infopath/2007/PartnerControls"/>
    </lcf76f155ced4ddcb4097134ff3c332f>
    <TaxCatchAll xmlns="12681a80-661c-432f-8d38-66627548047c" xsi:nil="true"/>
  </documentManagement>
</p:properties>
</file>

<file path=customXml/itemProps1.xml><?xml version="1.0" encoding="utf-8"?>
<ds:datastoreItem xmlns:ds="http://schemas.openxmlformats.org/officeDocument/2006/customXml" ds:itemID="{BB2ED56A-81AA-457C-80BF-9D7198799896}">
  <ds:schemaRefs>
    <ds:schemaRef ds:uri="http://schemas.microsoft.com/sharepoint/v3/contenttype/forms"/>
  </ds:schemaRefs>
</ds:datastoreItem>
</file>

<file path=customXml/itemProps2.xml><?xml version="1.0" encoding="utf-8"?>
<ds:datastoreItem xmlns:ds="http://schemas.openxmlformats.org/officeDocument/2006/customXml" ds:itemID="{5911DEB9-37E2-4FE3-B6D1-5E7048D1E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19fb7-ebee-4393-a1ea-d7556a6aafe0"/>
    <ds:schemaRef ds:uri="12681a80-661c-432f-8d38-666275480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609B8-CD7C-4941-B58B-9D322677F7C8}">
  <ds:schemaRefs>
    <ds:schemaRef ds:uri="http://schemas.microsoft.com/office/2006/metadata/properties"/>
    <ds:schemaRef ds:uri="http://schemas.microsoft.com/office/infopath/2007/PartnerControls"/>
    <ds:schemaRef ds:uri="c8d19fb7-ebee-4393-a1ea-d7556a6aafe0"/>
    <ds:schemaRef ds:uri="12681a80-661c-432f-8d38-6662754804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Marks</dc:creator>
  <cp:lastModifiedBy>Gemma Marks</cp:lastModifiedBy>
  <cp:revision>2</cp:revision>
  <dcterms:created xsi:type="dcterms:W3CDTF">2025-02-26T18:59:00Z</dcterms:created>
  <dcterms:modified xsi:type="dcterms:W3CDTF">2025-02-26T18:59:00Z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0x010100A1E6238396F1D04592A175CEC9DB1CFA</vt:lpwstr>
  </property>
</Properties>
</file>