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A8D2" w14:textId="42307BC4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Provider Information for Schools (for website)</w:t>
      </w:r>
    </w:p>
    <w:p w14:paraId="489632D7" w14:textId="77777777" w:rsidR="009339E3" w:rsidRDefault="004B2BBA">
      <w:pPr>
        <w:rPr>
          <w:b/>
          <w:bCs/>
        </w:rPr>
      </w:pPr>
      <w:r w:rsidRPr="004B2BBA">
        <w:rPr>
          <w:b/>
          <w:bCs/>
        </w:rPr>
        <w:t>Training Provider Name</w:t>
      </w:r>
      <w:r w:rsidR="009339E3">
        <w:rPr>
          <w:b/>
          <w:bCs/>
        </w:rPr>
        <w:tab/>
      </w:r>
      <w:r w:rsidR="009339E3">
        <w:rPr>
          <w:b/>
          <w:bCs/>
        </w:rPr>
        <w:tab/>
        <w:t xml:space="preserve"> </w:t>
      </w:r>
    </w:p>
    <w:p w14:paraId="59C5C5AB" w14:textId="21C2C898" w:rsidR="004B2BBA" w:rsidRPr="009339E3" w:rsidRDefault="009339E3">
      <w:r w:rsidRPr="009339E3">
        <w:t>The Cambridge Partnership</w:t>
      </w:r>
    </w:p>
    <w:p w14:paraId="576B6F07" w14:textId="440F9736" w:rsidR="004B2BBA" w:rsidRPr="009339E3" w:rsidRDefault="004B2BBA">
      <w:pPr>
        <w:rPr>
          <w:b/>
          <w:bCs/>
        </w:rPr>
      </w:pPr>
      <w:r w:rsidRPr="004B2BBA">
        <w:rPr>
          <w:b/>
          <w:bCs/>
        </w:rPr>
        <w:t>Training Provider Address</w:t>
      </w:r>
      <w:r w:rsidR="009339E3">
        <w:rPr>
          <w:b/>
          <w:bCs/>
        </w:rPr>
        <w:tab/>
      </w:r>
      <w:r w:rsidR="009339E3">
        <w:rPr>
          <w:rStyle w:val="Strong"/>
          <w:rFonts w:ascii="Poppins" w:hAnsi="Poppins" w:cs="Poppins"/>
          <w:color w:val="FFFFFF"/>
          <w:shd w:val="clear" w:color="auto" w:fill="FFFFFF"/>
        </w:rPr>
        <w:t>TheCambridge Partnership</w:t>
      </w:r>
      <w:r w:rsidR="009339E3">
        <w:rPr>
          <w:rFonts w:ascii="Poppins" w:hAnsi="Poppins" w:cs="Poppins"/>
          <w:color w:val="FFFFFF"/>
        </w:rPr>
        <w:br/>
      </w:r>
      <w:r w:rsidR="009339E3" w:rsidRPr="009339E3">
        <w:rPr>
          <w:rFonts w:cstheme="minorHAnsi"/>
          <w:shd w:val="clear" w:color="auto" w:fill="FFFFFF"/>
        </w:rPr>
        <w:t>Swavesey Village College</w:t>
      </w:r>
      <w:r w:rsidR="009339E3" w:rsidRPr="009339E3">
        <w:rPr>
          <w:rFonts w:cstheme="minorHAnsi"/>
        </w:rPr>
        <w:br/>
      </w:r>
      <w:r w:rsidR="009339E3" w:rsidRPr="009339E3">
        <w:rPr>
          <w:rFonts w:cstheme="minorHAnsi"/>
          <w:shd w:val="clear" w:color="auto" w:fill="FFFFFF"/>
        </w:rPr>
        <w:t>Gibraltar Lane,</w:t>
      </w:r>
      <w:r w:rsidR="009339E3" w:rsidRPr="009339E3">
        <w:rPr>
          <w:rFonts w:cstheme="minorHAnsi"/>
        </w:rPr>
        <w:br/>
      </w:r>
      <w:r w:rsidR="009339E3" w:rsidRPr="009339E3">
        <w:rPr>
          <w:rFonts w:cstheme="minorHAnsi"/>
          <w:shd w:val="clear" w:color="auto" w:fill="FFFFFF"/>
        </w:rPr>
        <w:t>Swavesey</w:t>
      </w:r>
      <w:r w:rsidR="009339E3" w:rsidRPr="009339E3">
        <w:rPr>
          <w:rFonts w:cstheme="minorHAnsi"/>
        </w:rPr>
        <w:br/>
      </w:r>
      <w:r w:rsidR="009339E3" w:rsidRPr="009339E3">
        <w:rPr>
          <w:rFonts w:cstheme="minorHAnsi"/>
          <w:shd w:val="clear" w:color="auto" w:fill="FFFFFF"/>
        </w:rPr>
        <w:t>Cambridgeshire,</w:t>
      </w:r>
      <w:r w:rsidR="009339E3" w:rsidRPr="009339E3">
        <w:rPr>
          <w:rFonts w:cstheme="minorHAnsi"/>
        </w:rPr>
        <w:br/>
      </w:r>
      <w:r w:rsidR="009339E3" w:rsidRPr="009339E3">
        <w:rPr>
          <w:rFonts w:cstheme="minorHAnsi"/>
          <w:shd w:val="clear" w:color="auto" w:fill="FFFFFF"/>
        </w:rPr>
        <w:t>CB24 4RS</w:t>
      </w:r>
    </w:p>
    <w:p w14:paraId="57D4D9B9" w14:textId="77777777" w:rsidR="004B2BBA" w:rsidRDefault="004B2BBA"/>
    <w:p w14:paraId="7F61AC7E" w14:textId="77777777" w:rsidR="004B2BBA" w:rsidRDefault="004B2B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B2BBA" w14:paraId="06E42134" w14:textId="77777777" w:rsidTr="0066453F">
        <w:tc>
          <w:tcPr>
            <w:tcW w:w="9016" w:type="dxa"/>
            <w:gridSpan w:val="2"/>
          </w:tcPr>
          <w:p w14:paraId="21D6FF8E" w14:textId="77777777" w:rsidR="004B2BBA" w:rsidRPr="004B2BBA" w:rsidRDefault="004B2BBA">
            <w:pPr>
              <w:rPr>
                <w:b/>
                <w:bCs/>
              </w:rPr>
            </w:pPr>
            <w:r w:rsidRPr="004B2BBA">
              <w:rPr>
                <w:b/>
                <w:bCs/>
              </w:rPr>
              <w:t>General information about you (maximum 150 words)</w:t>
            </w:r>
          </w:p>
          <w:p w14:paraId="13A5A4D8" w14:textId="77777777" w:rsidR="004B2BBA" w:rsidRDefault="004B2BBA"/>
          <w:p w14:paraId="58B8C274" w14:textId="65EFDAB5" w:rsidR="00404015" w:rsidRDefault="00404015" w:rsidP="00404015">
            <w:r w:rsidRPr="00404015">
              <w:t xml:space="preserve">The </w:t>
            </w:r>
            <w:r>
              <w:t>Cambridge</w:t>
            </w:r>
            <w:r w:rsidRPr="00404015">
              <w:t xml:space="preserve"> Partnership</w:t>
            </w:r>
            <w:r w:rsidR="009339E3">
              <w:t>/</w:t>
            </w:r>
            <w:r>
              <w:t>The Pilgrim Partnership</w:t>
            </w:r>
            <w:r w:rsidRPr="00404015">
              <w:t xml:space="preserve"> is an experienced provider of Initial Teacher Education</w:t>
            </w:r>
            <w:r w:rsidR="009339E3">
              <w:t xml:space="preserve">.  </w:t>
            </w:r>
            <w:r w:rsidRPr="00404015">
              <w:t xml:space="preserve">We have been training primary and secondary teachers successfully for more than 20 years and work with schools across the region to train the teachers they need. </w:t>
            </w:r>
          </w:p>
          <w:p w14:paraId="308BF6B6" w14:textId="77777777" w:rsidR="009339E3" w:rsidRPr="00404015" w:rsidRDefault="009339E3" w:rsidP="00404015"/>
          <w:p w14:paraId="4308B348" w14:textId="2527C715" w:rsidR="00404015" w:rsidRDefault="00404015" w:rsidP="00404015">
            <w:r>
              <w:t>We</w:t>
            </w:r>
            <w:r w:rsidRPr="00404015">
              <w:t xml:space="preserve"> offer tuition fee routes as well as the postgraduate teaching apprenticeship in both primary and secondary phases. </w:t>
            </w:r>
          </w:p>
          <w:p w14:paraId="6900BBC3" w14:textId="77777777" w:rsidR="009339E3" w:rsidRPr="00404015" w:rsidRDefault="009339E3" w:rsidP="00404015"/>
          <w:p w14:paraId="3AD9A992" w14:textId="77777777" w:rsidR="009339E3" w:rsidRDefault="00404015" w:rsidP="00404015">
            <w:r w:rsidRPr="00404015">
              <w:t>Our routes lead to QTS and QTS with PGCE, delivered in partnership with Anglia Ruskin University.</w:t>
            </w:r>
          </w:p>
          <w:p w14:paraId="3FD2B483" w14:textId="5C300FC4" w:rsidR="00404015" w:rsidRPr="00404015" w:rsidRDefault="00404015" w:rsidP="00404015">
            <w:r w:rsidRPr="00404015">
              <w:t xml:space="preserve"> </w:t>
            </w:r>
          </w:p>
          <w:p w14:paraId="4E35F4F6" w14:textId="0648C808" w:rsidR="00404015" w:rsidRPr="00404015" w:rsidRDefault="00404015" w:rsidP="00404015">
            <w:r w:rsidRPr="00404015">
              <w:t>Although a large provider</w:t>
            </w:r>
            <w:r w:rsidR="005B209E">
              <w:t>,</w:t>
            </w:r>
            <w:r w:rsidRPr="00404015">
              <w:t xml:space="preserve"> our hub model means trainees work in small regional, phase specific hubs to ensure training is both local and relevant. </w:t>
            </w:r>
          </w:p>
          <w:p w14:paraId="3DDC0ABA" w14:textId="77777777" w:rsidR="004B2BBA" w:rsidRDefault="004B2BBA"/>
          <w:p w14:paraId="1AF011B6" w14:textId="4E0C5EA7" w:rsidR="004B2BBA" w:rsidRDefault="004B2BBA"/>
        </w:tc>
      </w:tr>
      <w:tr w:rsidR="004B2BBA" w14:paraId="389A2E0C" w14:textId="77777777" w:rsidTr="000A0F8B">
        <w:tc>
          <w:tcPr>
            <w:tcW w:w="3681" w:type="dxa"/>
          </w:tcPr>
          <w:p w14:paraId="78DA7033" w14:textId="7132C72A" w:rsidR="004B2BBA" w:rsidRDefault="004B2BBA">
            <w:r w:rsidRPr="009E3AE3">
              <w:rPr>
                <w:b/>
                <w:bCs/>
              </w:rPr>
              <w:t>Geographical areas covered</w:t>
            </w:r>
            <w:r>
              <w:t xml:space="preserve"> (be specific e.g. Wellingborough, Kettering etc.)</w:t>
            </w:r>
          </w:p>
        </w:tc>
        <w:tc>
          <w:tcPr>
            <w:tcW w:w="5335" w:type="dxa"/>
          </w:tcPr>
          <w:p w14:paraId="6F0F4A16" w14:textId="5804E2AD" w:rsidR="004B2BBA" w:rsidRDefault="000A0F8B">
            <w:r w:rsidRPr="000A0F8B">
              <w:t>Bedfordshire, Cambridgeshire, Hertfordshire</w:t>
            </w:r>
            <w:r>
              <w:t>,</w:t>
            </w:r>
            <w:r w:rsidRPr="000A0F8B">
              <w:t xml:space="preserve"> Northamptonshire</w:t>
            </w:r>
            <w:r>
              <w:t xml:space="preserve">, </w:t>
            </w:r>
            <w:r w:rsidRPr="000A0F8B">
              <w:rPr>
                <w:rFonts w:cstheme="minorHAnsi"/>
                <w:color w:val="111111"/>
                <w:shd w:val="clear" w:color="auto" w:fill="FFFFFF"/>
              </w:rPr>
              <w:t xml:space="preserve">Norfolk, </w:t>
            </w:r>
            <w:proofErr w:type="gramStart"/>
            <w:r w:rsidRPr="000A0F8B">
              <w:rPr>
                <w:rFonts w:cstheme="minorHAnsi"/>
                <w:color w:val="111111"/>
                <w:shd w:val="clear" w:color="auto" w:fill="FFFFFF"/>
              </w:rPr>
              <w:t>Suffolk</w:t>
            </w:r>
            <w:proofErr w:type="gramEnd"/>
            <w:r>
              <w:rPr>
                <w:rFonts w:cstheme="minorHAnsi"/>
                <w:color w:val="111111"/>
                <w:shd w:val="clear" w:color="auto" w:fill="FFFFFF"/>
              </w:rPr>
              <w:t xml:space="preserve"> and</w:t>
            </w:r>
            <w:r w:rsidRPr="000A0F8B">
              <w:rPr>
                <w:rFonts w:cstheme="minorHAnsi"/>
                <w:color w:val="111111"/>
                <w:shd w:val="clear" w:color="auto" w:fill="FFFFFF"/>
              </w:rPr>
              <w:t xml:space="preserve"> Leicestershire </w:t>
            </w:r>
          </w:p>
        </w:tc>
      </w:tr>
      <w:tr w:rsidR="004B2BBA" w14:paraId="382AFC10" w14:textId="77777777" w:rsidTr="000A0F8B">
        <w:tc>
          <w:tcPr>
            <w:tcW w:w="3681" w:type="dxa"/>
          </w:tcPr>
          <w:p w14:paraId="66801514" w14:textId="77777777" w:rsidR="004B2BBA" w:rsidRDefault="004B2BBA">
            <w:r w:rsidRPr="009E3AE3">
              <w:rPr>
                <w:b/>
                <w:bCs/>
              </w:rPr>
              <w:t>Courses offered</w:t>
            </w:r>
            <w:r>
              <w:t xml:space="preserve"> (e.g. primary, secondary, subjects, age ranges)</w:t>
            </w:r>
          </w:p>
          <w:p w14:paraId="00BAFCBB" w14:textId="77777777" w:rsidR="004B2BBA" w:rsidRDefault="004B2BBA"/>
          <w:p w14:paraId="29982388" w14:textId="77777777" w:rsidR="004B2BBA" w:rsidRDefault="004B2BBA"/>
          <w:p w14:paraId="7A08F594" w14:textId="77777777" w:rsidR="004B2BBA" w:rsidRDefault="004B2BBA"/>
          <w:p w14:paraId="0DE5462C" w14:textId="58951722" w:rsidR="004B2BBA" w:rsidRDefault="004B2BBA"/>
        </w:tc>
        <w:tc>
          <w:tcPr>
            <w:tcW w:w="5335" w:type="dxa"/>
          </w:tcPr>
          <w:p w14:paraId="18D661CC" w14:textId="77777777" w:rsidR="004B2BBA" w:rsidRDefault="004B2BBA"/>
          <w:p w14:paraId="582ED83A" w14:textId="77777777" w:rsidR="00404015" w:rsidRDefault="00404015" w:rsidP="00404015">
            <w:pPr>
              <w:pStyle w:val="ListParagraph"/>
              <w:numPr>
                <w:ilvl w:val="0"/>
                <w:numId w:val="2"/>
              </w:numPr>
            </w:pPr>
            <w:r w:rsidRPr="00404015">
              <w:rPr>
                <w:b/>
                <w:bCs/>
              </w:rPr>
              <w:t>School Centred Initial Teacher Training</w:t>
            </w:r>
            <w:r w:rsidRPr="00404015">
              <w:t xml:space="preserve"> </w:t>
            </w:r>
          </w:p>
          <w:p w14:paraId="08FBCB57" w14:textId="31E924A0" w:rsidR="00404015" w:rsidRPr="00404015" w:rsidRDefault="00404015" w:rsidP="00404015">
            <w:pPr>
              <w:pStyle w:val="ListParagraph"/>
            </w:pPr>
            <w:r w:rsidRPr="00404015">
              <w:t>Primary: 3-7, 5-11 and SEND focus</w:t>
            </w:r>
          </w:p>
          <w:p w14:paraId="07FE8C39" w14:textId="77777777" w:rsidR="00404015" w:rsidRPr="00404015" w:rsidRDefault="00404015" w:rsidP="00404015">
            <w:pPr>
              <w:pStyle w:val="ListParagraph"/>
            </w:pPr>
            <w:r w:rsidRPr="00404015">
              <w:t>Secondary: 11-16 English, Mathematics, Chemistry, Biology, Computing, Physics, French with Spanish, French with German, French, Geography, History, R.E, Art &amp; Design, Design &amp; Technology, Music, Drama and P.E.</w:t>
            </w:r>
          </w:p>
          <w:p w14:paraId="4B560EF2" w14:textId="77777777" w:rsidR="00404015" w:rsidRPr="00404015" w:rsidRDefault="00404015" w:rsidP="00404015">
            <w:pPr>
              <w:pStyle w:val="ListParagraph"/>
            </w:pPr>
            <w:r w:rsidRPr="00404015">
              <w:t>Secondary 14-19 courses are available in Business Studies.</w:t>
            </w:r>
          </w:p>
          <w:p w14:paraId="76F27CAF" w14:textId="3EB47C62" w:rsidR="00404015" w:rsidRPr="00404015" w:rsidRDefault="00404015" w:rsidP="00404015"/>
          <w:p w14:paraId="0F3D6C52" w14:textId="1AA124AC" w:rsidR="00404015" w:rsidRPr="00404015" w:rsidRDefault="00404015" w:rsidP="00404015">
            <w:pPr>
              <w:pStyle w:val="ListParagraph"/>
              <w:numPr>
                <w:ilvl w:val="0"/>
                <w:numId w:val="2"/>
              </w:numPr>
            </w:pPr>
            <w:r w:rsidRPr="00404015">
              <w:rPr>
                <w:b/>
                <w:bCs/>
              </w:rPr>
              <w:t>School Direct Tuition Fee</w:t>
            </w:r>
          </w:p>
          <w:p w14:paraId="09FC0778" w14:textId="51E702B9" w:rsidR="00404015" w:rsidRPr="00404015" w:rsidRDefault="00404015" w:rsidP="00404015">
            <w:r>
              <w:t xml:space="preserve">              </w:t>
            </w:r>
            <w:r w:rsidRPr="00404015">
              <w:t>Primary: 3-7, 5-11 and SEND focus</w:t>
            </w:r>
          </w:p>
          <w:p w14:paraId="1DFD935A" w14:textId="77777777" w:rsidR="00404015" w:rsidRPr="00404015" w:rsidRDefault="00404015" w:rsidP="00404015">
            <w:pPr>
              <w:pStyle w:val="ListParagraph"/>
            </w:pPr>
            <w:r w:rsidRPr="00404015">
              <w:t>Secondary: 11-16 English, Mathematics, Chemistry, Biology, Computing, Physics, French with Spanish, French with German, French, Geography, History, R.E, Art &amp; Design, Design &amp; Technology, Music, Drama and P.E.</w:t>
            </w:r>
          </w:p>
          <w:p w14:paraId="240AA33D" w14:textId="77777777" w:rsidR="00404015" w:rsidRPr="00404015" w:rsidRDefault="00404015" w:rsidP="00404015">
            <w:pPr>
              <w:pStyle w:val="ListParagraph"/>
            </w:pPr>
            <w:r w:rsidRPr="00404015">
              <w:lastRenderedPageBreak/>
              <w:t>Secondary 14-19 courses are available in Business Studies.</w:t>
            </w:r>
          </w:p>
          <w:p w14:paraId="4FA63285" w14:textId="42714C12" w:rsidR="00404015" w:rsidRPr="00404015" w:rsidRDefault="00404015" w:rsidP="00404015"/>
          <w:p w14:paraId="35ECF65A" w14:textId="49349C77" w:rsidR="00404015" w:rsidRPr="00404015" w:rsidRDefault="00404015" w:rsidP="004040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404015">
              <w:rPr>
                <w:b/>
                <w:bCs/>
              </w:rPr>
              <w:t>School Direct Salaried</w:t>
            </w:r>
            <w:r w:rsidRPr="00404015">
              <w:t xml:space="preserve"> </w:t>
            </w:r>
            <w:r>
              <w:t xml:space="preserve">(primary and secondary as above) </w:t>
            </w:r>
            <w:r w:rsidRPr="00404015">
              <w:t>– you must have a school willing to support you by employing you on at least point one of the unqualified teachers</w:t>
            </w:r>
            <w:r w:rsidR="005B209E">
              <w:t>’</w:t>
            </w:r>
            <w:r w:rsidRPr="00404015">
              <w:t xml:space="preserve"> pay scale along with on costs and your course fees. </w:t>
            </w:r>
            <w:r w:rsidRPr="00404015">
              <w:rPr>
                <w:lang w:val="en-US"/>
              </w:rPr>
              <w:t>School Direct (salaried) trainees are not eligible for bursaries</w:t>
            </w:r>
            <w:r w:rsidR="005B209E">
              <w:rPr>
                <w:lang w:val="en-US"/>
              </w:rPr>
              <w:t>,</w:t>
            </w:r>
            <w:r w:rsidRPr="00404015">
              <w:rPr>
                <w:lang w:val="en-US"/>
              </w:rPr>
              <w:t xml:space="preserve"> or scholarships.</w:t>
            </w:r>
          </w:p>
          <w:p w14:paraId="11CD0609" w14:textId="77777777" w:rsidR="00404015" w:rsidRPr="00404015" w:rsidRDefault="00404015" w:rsidP="00404015"/>
          <w:p w14:paraId="5EB3B2F6" w14:textId="3E0EDEA8" w:rsidR="00404015" w:rsidRPr="00404015" w:rsidRDefault="00404015" w:rsidP="004040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404015">
              <w:rPr>
                <w:b/>
                <w:bCs/>
                <w:lang w:val="en-US"/>
              </w:rPr>
              <w:t>Apprenticeship Route</w:t>
            </w:r>
            <w:r w:rsidRPr="00404015">
              <w:rPr>
                <w:lang w:val="en-US"/>
              </w:rPr>
              <w:t xml:space="preserve"> – this route works in a similar way to the SDS route above. You need a school to employ you and the apprenticeship is</w:t>
            </w:r>
            <w:r w:rsidR="005B209E">
              <w:rPr>
                <w:lang w:val="en-US"/>
              </w:rPr>
              <w:t xml:space="preserve"> for</w:t>
            </w:r>
            <w:r w:rsidRPr="00404015">
              <w:rPr>
                <w:lang w:val="en-US"/>
              </w:rPr>
              <w:t xml:space="preserve"> 12 months running from July to July. </w:t>
            </w:r>
          </w:p>
          <w:p w14:paraId="5A281861" w14:textId="77777777" w:rsidR="00404015" w:rsidRPr="00404015" w:rsidRDefault="00404015" w:rsidP="00404015"/>
          <w:p w14:paraId="2EE56029" w14:textId="5F62334E" w:rsidR="00404015" w:rsidRPr="00404015" w:rsidRDefault="00404015" w:rsidP="00404015">
            <w:pPr>
              <w:pStyle w:val="ListParagraph"/>
              <w:numPr>
                <w:ilvl w:val="0"/>
                <w:numId w:val="2"/>
              </w:numPr>
            </w:pPr>
            <w:r w:rsidRPr="000A0F8B">
              <w:rPr>
                <w:b/>
                <w:bCs/>
              </w:rPr>
              <w:t xml:space="preserve">Assessment </w:t>
            </w:r>
            <w:r w:rsidR="005B209E">
              <w:rPr>
                <w:b/>
                <w:bCs/>
              </w:rPr>
              <w:t>O</w:t>
            </w:r>
            <w:r w:rsidRPr="000A0F8B">
              <w:rPr>
                <w:b/>
                <w:bCs/>
              </w:rPr>
              <w:t xml:space="preserve">nly </w:t>
            </w:r>
            <w:r w:rsidR="005B209E">
              <w:rPr>
                <w:b/>
                <w:bCs/>
              </w:rPr>
              <w:t>R</w:t>
            </w:r>
            <w:r w:rsidRPr="000A0F8B">
              <w:rPr>
                <w:b/>
                <w:bCs/>
              </w:rPr>
              <w:t>oute</w:t>
            </w:r>
            <w:r w:rsidRPr="00404015">
              <w:t xml:space="preserve"> – this route is for people who are already teaching as unqualified teachers with a minimum of 2 years full time experience. There is no training programme</w:t>
            </w:r>
            <w:r w:rsidR="005B209E">
              <w:t>,</w:t>
            </w:r>
            <w:r w:rsidRPr="00404015">
              <w:t xml:space="preserve"> but your teaching is assessed over a period of 12 weeks. </w:t>
            </w:r>
          </w:p>
          <w:p w14:paraId="2FC1C839" w14:textId="77777777" w:rsidR="00404015" w:rsidRDefault="00404015"/>
        </w:tc>
      </w:tr>
      <w:tr w:rsidR="004B2BBA" w14:paraId="22A0EDBA" w14:textId="77777777" w:rsidTr="000A0F8B">
        <w:tc>
          <w:tcPr>
            <w:tcW w:w="3681" w:type="dxa"/>
          </w:tcPr>
          <w:p w14:paraId="4A6AB4A0" w14:textId="77777777" w:rsidR="004B2BBA" w:rsidRDefault="004B2BBA">
            <w:r w:rsidRPr="009E3AE3">
              <w:rPr>
                <w:b/>
                <w:bCs/>
              </w:rPr>
              <w:lastRenderedPageBreak/>
              <w:t>Routes into teaching offered</w:t>
            </w:r>
            <w:r>
              <w:t xml:space="preserve"> (e.g. primary general, primary specialist, assessment only QTS, QTS with PGCE, QTS only)</w:t>
            </w:r>
          </w:p>
          <w:p w14:paraId="6414C4FB" w14:textId="00E5447C" w:rsidR="004B2BBA" w:rsidRDefault="004B2BBA"/>
        </w:tc>
        <w:tc>
          <w:tcPr>
            <w:tcW w:w="5335" w:type="dxa"/>
          </w:tcPr>
          <w:p w14:paraId="3DB795BF" w14:textId="08040FD6" w:rsidR="004B2BBA" w:rsidRDefault="00404015">
            <w:r>
              <w:t xml:space="preserve">Primary QTS </w:t>
            </w:r>
            <w:r w:rsidR="005B209E">
              <w:t>/</w:t>
            </w:r>
            <w:r>
              <w:t>with PGCE</w:t>
            </w:r>
          </w:p>
          <w:p w14:paraId="69F73EB9" w14:textId="1EE04C4D" w:rsidR="00404015" w:rsidRDefault="00404015">
            <w:r>
              <w:t xml:space="preserve">Secondary QTS </w:t>
            </w:r>
            <w:r w:rsidR="005B209E">
              <w:t>/</w:t>
            </w:r>
            <w:r>
              <w:t>with PGCE</w:t>
            </w:r>
          </w:p>
          <w:p w14:paraId="47CD94F6" w14:textId="496C4F45" w:rsidR="00404015" w:rsidRDefault="00404015">
            <w:r>
              <w:t>Assessment Only (primary and secondary)</w:t>
            </w:r>
          </w:p>
          <w:p w14:paraId="0F6F629E" w14:textId="4934C205" w:rsidR="000A0F8B" w:rsidRDefault="000A0F8B">
            <w:r>
              <w:t>Apprenticeship Route</w:t>
            </w:r>
            <w:r w:rsidR="005B209E">
              <w:t xml:space="preserve"> (primary and secondary)</w:t>
            </w:r>
          </w:p>
          <w:p w14:paraId="71134D36" w14:textId="77777777" w:rsidR="00404015" w:rsidRDefault="00404015"/>
          <w:p w14:paraId="0BD5C2DA" w14:textId="389AF88E" w:rsidR="00404015" w:rsidRDefault="00404015"/>
        </w:tc>
      </w:tr>
      <w:tr w:rsidR="004B2BBA" w14:paraId="711FDFEF" w14:textId="77777777" w:rsidTr="000A0F8B">
        <w:tc>
          <w:tcPr>
            <w:tcW w:w="3681" w:type="dxa"/>
          </w:tcPr>
          <w:p w14:paraId="5BE8425D" w14:textId="1BE42591" w:rsidR="004B2BBA" w:rsidRPr="009E3AE3" w:rsidRDefault="009E3A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Main contact and contact details </w:t>
            </w:r>
            <w:r w:rsidRPr="009E3AE3">
              <w:t>(including website address)</w:t>
            </w:r>
          </w:p>
          <w:p w14:paraId="4ECE5728" w14:textId="77777777" w:rsidR="004B2BBA" w:rsidRDefault="004B2BBA"/>
          <w:p w14:paraId="5E183FF9" w14:textId="77777777" w:rsidR="004B2BBA" w:rsidRDefault="004B2BBA"/>
          <w:p w14:paraId="12CCCBD2" w14:textId="6334D8C6" w:rsidR="004B2BBA" w:rsidRDefault="004B2BBA"/>
        </w:tc>
        <w:tc>
          <w:tcPr>
            <w:tcW w:w="5335" w:type="dxa"/>
          </w:tcPr>
          <w:p w14:paraId="3ADA970B" w14:textId="77777777" w:rsidR="00FA1DEF" w:rsidRDefault="00FA1DEF"/>
          <w:p w14:paraId="54D147A6" w14:textId="77777777" w:rsidR="00FA1DEF" w:rsidRDefault="00FA1DEF"/>
          <w:p w14:paraId="24E7E510" w14:textId="77777777" w:rsidR="00FA1DEF" w:rsidRDefault="00FA1DEF"/>
          <w:p w14:paraId="55B3E332" w14:textId="7BB68A63" w:rsidR="004B2BBA" w:rsidRDefault="00174D3A">
            <w:hyperlink r:id="rId5" w:history="1">
              <w:r w:rsidR="000A0F8B">
                <w:rPr>
                  <w:rStyle w:val="Hyperlink"/>
                </w:rPr>
                <w:t>The Cambridge Partnership - Developing inspirational teachers for the future (campartnership.org)</w:t>
              </w:r>
            </w:hyperlink>
          </w:p>
        </w:tc>
      </w:tr>
    </w:tbl>
    <w:p w14:paraId="45562432" w14:textId="77777777" w:rsidR="004B2BBA" w:rsidRDefault="004B2BBA"/>
    <w:p w14:paraId="0E50EE0F" w14:textId="77777777" w:rsidR="004B2BBA" w:rsidRDefault="004B2BBA"/>
    <w:sectPr w:rsidR="004B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B6474"/>
    <w:multiLevelType w:val="hybridMultilevel"/>
    <w:tmpl w:val="DF1CFA0C"/>
    <w:lvl w:ilvl="0" w:tplc="46BA9E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CC5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5A1F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6A2C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8412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4662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DE42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AEAC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CE35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02933E4"/>
    <w:multiLevelType w:val="hybridMultilevel"/>
    <w:tmpl w:val="F72CF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31178">
    <w:abstractNumId w:val="0"/>
  </w:num>
  <w:num w:numId="2" w16cid:durableId="932323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A"/>
    <w:rsid w:val="000A0F8B"/>
    <w:rsid w:val="00174D3A"/>
    <w:rsid w:val="00404015"/>
    <w:rsid w:val="004B2BBA"/>
    <w:rsid w:val="005B209E"/>
    <w:rsid w:val="009339E3"/>
    <w:rsid w:val="009E3AE3"/>
    <w:rsid w:val="00F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9C46"/>
  <w15:chartTrackingRefBased/>
  <w15:docId w15:val="{DB726841-C7E9-45AC-9B55-640636F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0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0F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3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mpartnershi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 Elleman</dc:creator>
  <cp:keywords/>
  <dc:description/>
  <cp:lastModifiedBy>Diane Elleman</cp:lastModifiedBy>
  <cp:revision>2</cp:revision>
  <dcterms:created xsi:type="dcterms:W3CDTF">2024-03-06T09:24:00Z</dcterms:created>
  <dcterms:modified xsi:type="dcterms:W3CDTF">2024-03-06T09:24:00Z</dcterms:modified>
</cp:coreProperties>
</file>